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43131-2023 i Bräcke kommun</w:t>
      </w:r>
    </w:p>
    <w:p>
      <w:r>
        <w:t>Detta klagomål behandlar höga naturvärden i avverkningsanmälan A 43131-2023 i Bräcke kommun som inkom 2023-09-13 och omfattar 22,1 ha.</w:t>
      </w:r>
    </w:p>
    <w:p>
      <w:pPr>
        <w:pStyle w:val="Caption"/>
      </w:pPr>
      <w:r>
        <w:drawing>
          <wp:inline xmlns:a="http://schemas.openxmlformats.org/drawingml/2006/main" xmlns:pic="http://schemas.openxmlformats.org/drawingml/2006/picture">
            <wp:extent cx="5234708" cy="5724000"/>
            <wp:docPr id="1" name="Picture 1"/>
            <wp:cNvGraphicFramePr>
              <a:graphicFrameLocks noChangeAspect="1"/>
            </wp:cNvGraphicFramePr>
            <a:graphic>
              <a:graphicData uri="http://schemas.openxmlformats.org/drawingml/2006/picture">
                <pic:pic>
                  <pic:nvPicPr>
                    <pic:cNvPr id="0" name="A 43131-2023 karta.png"/>
                    <pic:cNvPicPr/>
                  </pic:nvPicPr>
                  <pic:blipFill>
                    <a:blip r:embed="rId16"/>
                    <a:stretch>
                      <a:fillRect/>
                    </a:stretch>
                  </pic:blipFill>
                  <pic:spPr>
                    <a:xfrm>
                      <a:off x="0" y="0"/>
                      <a:ext cx="5234708"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6953965, E 555101 i SWEREF 99 TM.</w:t>
      </w:r>
    </w:p>
    <w:p>
      <w:r>
        <w:t>I och inom 25 meter från avverkningsanmälan finns fynd av 21 naturvårdsarter, varav 10 är rödlistade, 13 är fridlysta, 16 är typiska (T) och 5 är signalarter (S): garnlav (VU, T), gränsticka (VU, T), knärot (VU, T, §8), lavskrika (NT, T, §4), lunglav (NT, T), skrovellav (NT, T), talltita (NT, §4), tretåig hackspett (NT, T, §4), ullticka (NT, T), vedtrappmossa (NT, T), grönkulla (S, T, §8), korallblylav (S, T), korallrot (S, T, §8), spindelblomster (S, T, §8), stuplav (S, T), spillkråka (T, §4), tjäder (T, §4), kungsfågel (§4), huggorm (§6),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18 fyndplatser för knärot registrerade på Artportalen. Figur 2 visar gränserna för buffertzoner på 50 m, som behöver lämnas kring fyndplatserna för att knärotslokalerna inte ska försvinna vid en avverkning. Av det avverkningsanmälda området överlappar 8.29 ha med buffertzonerna och får av detta skäl inte avverkas.</w:t>
      </w:r>
    </w:p>
    <w:p>
      <w:pPr>
        <w:pStyle w:val="Caption"/>
      </w:pPr>
      <w:r>
        <w:drawing>
          <wp:inline xmlns:a="http://schemas.openxmlformats.org/drawingml/2006/main" xmlns:pic="http://schemas.openxmlformats.org/drawingml/2006/picture">
            <wp:extent cx="5486400" cy="5633458"/>
            <wp:docPr id="2" name="Picture 2"/>
            <wp:cNvGraphicFramePr>
              <a:graphicFrameLocks noChangeAspect="1"/>
            </wp:cNvGraphicFramePr>
            <a:graphic>
              <a:graphicData uri="http://schemas.openxmlformats.org/drawingml/2006/picture">
                <pic:pic>
                  <pic:nvPicPr>
                    <pic:cNvPr id="0" name="A 43131-2023 karta knärot.png"/>
                    <pic:cNvPicPr/>
                  </pic:nvPicPr>
                  <pic:blipFill>
                    <a:blip r:embed="rId17"/>
                    <a:stretch>
                      <a:fillRect/>
                    </a:stretch>
                  </pic:blipFill>
                  <pic:spPr>
                    <a:xfrm>
                      <a:off x="0" y="0"/>
                      <a:ext cx="5486400" cy="563345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6953965, E 555101 i SWEREF 99 TM.</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