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1693-2022 i Bräcke kommun</w:t>
      </w:r>
    </w:p>
    <w:p>
      <w:r>
        <w:t>Detta klagomål behandlar höga naturvärden i samrådsanmälan S 1693-2022 i Bräcke kommun som inkom 2022-03-30 och omfattar 13,8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S 1693-2022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6952707, E 513172 i SWEREF 99 TM.</w:t>
      </w:r>
    </w:p>
    <w:p>
      <w:r>
        <w:t>I och inom 22 meter från samrådsanmälan finns fynd av 12 naturvårdsarter, varav 9 är rödlistade, 3 är fridlysta, 8 är typiska (T) och 1 är signalart (S): aspgelélav (VU, T), doftticka (VU, T, §8), läderlappslav (VU, T), dropptaggsvamp (NT, T), dvärgbägarlav (NT, T), kolflarnlav (NT, T), kortskaftad ärgspik (NT), lunglav (NT, T), älg (NT), skinnlav (S, T), grönsiska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