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11548-2023 i Bräcke kommun</w:t>
      </w:r>
    </w:p>
    <w:p>
      <w:r>
        <w:t>Denna tillsynsbegäran behandlar höga naturvärden i avverkningsanmälan A 11548-2023 i Bräcke kommun som inkom 2023-03-08 och omfattar 2,5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1548-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6960101, E 563723 i SWEREF 99 TM.</w:t>
      </w:r>
    </w:p>
    <w:p>
      <w:r>
        <w:t>I och inom 16 meter från avverkningsanmälan finns fynd av 13 naturvårdsarter, varav 9 är rödlistade, 7 är typiska (T) och 3 är signalarter (S): skrovlig taggsvamp (VU), blanksvart spiklav (NT), blå taggsvamp (NT, T), dropptaggsvamp (NT, T), dvärgbägarlav (NT, T), lunglav (NT, T), nordtagging (NT), rynkskinn (NT, T), vedflamlav (NT), korallblylav (S, T), svavelriska (S), zontaggsvamp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dvärgbägarlav (NT, T), lunglav (NT, T), rynkskinn (NT, T), korallblylav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