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och inom 8 meter från avverkningsanmälan finns fynd av 2 naturvårdsarter, varav 2 är rödlistade, 2 är fridlysta och 1 är typisk (T): violett guldvinge (VU, §4a)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