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7508-2024 i Bräcke kommun</w:t>
      </w:r>
    </w:p>
    <w:p>
      <w:r>
        <w:t>Denna tillsynsbegäran behandlar höga naturvärden i avverkningsanmälan A 7508-2024 i Bräcke kommun som inkom 2024-02-25 och omfattar 2,9 ha.</w:t>
      </w:r>
    </w:p>
    <w:p>
      <w:pPr>
        <w:pStyle w:val="Caption"/>
      </w:pPr>
      <w:r>
        <w:drawing>
          <wp:inline xmlns:a="http://schemas.openxmlformats.org/drawingml/2006/main" xmlns:pic="http://schemas.openxmlformats.org/drawingml/2006/picture">
            <wp:extent cx="5486400" cy="5252776"/>
            <wp:docPr id="1" name="Picture 1"/>
            <wp:cNvGraphicFramePr>
              <a:graphicFrameLocks noChangeAspect="1"/>
            </wp:cNvGraphicFramePr>
            <a:graphic>
              <a:graphicData uri="http://schemas.openxmlformats.org/drawingml/2006/picture">
                <pic:pic>
                  <pic:nvPicPr>
                    <pic:cNvPr id="0" name="A 7508-2024 karta.png"/>
                    <pic:cNvPicPr/>
                  </pic:nvPicPr>
                  <pic:blipFill>
                    <a:blip r:embed="rId16"/>
                    <a:stretch>
                      <a:fillRect/>
                    </a:stretch>
                  </pic:blipFill>
                  <pic:spPr>
                    <a:xfrm>
                      <a:off x="0" y="0"/>
                      <a:ext cx="5486400" cy="5252776"/>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6991621, E 564458 i SWEREF 99 TM.</w:t>
      </w:r>
    </w:p>
    <w:p>
      <w:r>
        <w:t>I och inom 21 meter från avverkningsanmälan finns fynd av 29 naturvårdsarter, varav 17 är rödlistade, 5 är fridlysta, 23 är typiska (T) och 10 är signalarter (S): garnlav (VU, T), knärot (VU, T, §8), mörk rödprick (VU), brunpudrad nållav (NT, T), doftskinn (NT, T), gammelgransskål (NT, T), kolflarnlav (NT, T), liten svartspik (NT), lunglav (NT, T), mörk kolflarnlav (NT), rosenticka (NT, T), rynkskinn (NT, T), tretåig hackspett (NT, T, §4), ullticka (NT, T), vedskivlav (NT, T), vedtrappmossa (NT, T), vitgrynig nållav (NT), bårdlav (S, T), luddlav (S, T), mörk husmossa (S, T), norrlandslav (S, T), rostfläck (S, T), skinnlav (S, T), spindelblomster (S, T, §8), stuplav (S, T), vedticka (S, T), ögonpyrola (S, T), nattviol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2.19 ha med buffertzonerna och får av detta skäl inte avverkas.</w:t>
      </w:r>
    </w:p>
    <w:p>
      <w:pPr>
        <w:pStyle w:val="Caption"/>
      </w:pPr>
      <w:r>
        <w:drawing>
          <wp:inline xmlns:a="http://schemas.openxmlformats.org/drawingml/2006/main" xmlns:pic="http://schemas.openxmlformats.org/drawingml/2006/picture">
            <wp:extent cx="5486400" cy="4645529"/>
            <wp:docPr id="2" name="Picture 2"/>
            <wp:cNvGraphicFramePr>
              <a:graphicFrameLocks noChangeAspect="1"/>
            </wp:cNvGraphicFramePr>
            <a:graphic>
              <a:graphicData uri="http://schemas.openxmlformats.org/drawingml/2006/picture">
                <pic:pic>
                  <pic:nvPicPr>
                    <pic:cNvPr id="0" name="A 7508-2024 karta knärot.png"/>
                    <pic:cNvPicPr/>
                  </pic:nvPicPr>
                  <pic:blipFill>
                    <a:blip r:embed="rId17"/>
                    <a:stretch>
                      <a:fillRect/>
                    </a:stretch>
                  </pic:blipFill>
                  <pic:spPr>
                    <a:xfrm>
                      <a:off x="0" y="0"/>
                      <a:ext cx="5486400" cy="464552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6991621, E 564458 i SWEREF 99 TM.</w:t>
      </w:r>
    </w:p>
    <w:p>
      <w:r>
        <w:rPr>
          <w:b/>
        </w:rPr>
        <w:t>Mörk rödprick (VU)</w:t>
      </w:r>
      <w:r>
        <w:t xml:space="preserve"> är en fläcklav som påträffats på gran, sälg och björk i boreala grandominerade kontinuitetsskogar med hög och jämn luftfuktighet. Arten hotas främst av att arealen gammal boreal granskog med grova sälgar och hög luftfuktighet minskat. Barrskog äldre än 160 år har minskat med 50% de senaste 50 åren. Artens population bedöms ha minskat med minst 30% under samma tidsperiod (3 generation för arten) och bedömningen är att populationen kommer att fortsätta minska med ytterligare åtminstone 30% de kommande 50 åren. Några lokaler är naturreservat men ytterligare lokaler måste skyddas (SLU Artdatabanken, 2026).</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brunpudrad nållav (NT, T), doftskinn (NT, T), gammelgransskål (NT, T), kolflarnlav (NT, T), lunglav (NT, T), rosenticka (NT, T), rynkskinn (NT, T), tretåig hackspett (NT, T, §4), ullticka (NT, T), vedskivlav (NT, T), vedtrappmossa (NT, T), bårdlav (S, T), luddlav (S, T), mörk husmossa (S, T), norrlandslav (S, T), rostfläck (S, T), skinnlav (S, T), spindelblomster (S, T, §8), stuplav (S, T), vedticka (S, T) och ögonpyrola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