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16982-2023 i Bräcke kommun</w:t>
      </w:r>
    </w:p>
    <w:p>
      <w:r>
        <w:t>Detta dokument behandlar höga naturvärden i avverkningsanmälan A 16982-2023 i Bräcke kommun. Denna avverkningsanmälan inkom 2023-04-17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tornseglare (EN, §4), björktrast (NT, §4), buskskvätta (NT, §4), fiskmås (NT, §4), fjällvråk (NT, §4), havsörn (NT, §4), rödvingetrast (NT, §4), fiskgjuse (§4), grönsiska (§4) och trana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3368"/>
            <wp:docPr id="1" name="Picture 1"/>
            <wp:cNvGraphicFramePr>
              <a:graphicFrameLocks noChangeAspect="1"/>
            </wp:cNvGraphicFramePr>
            <a:graphic>
              <a:graphicData uri="http://schemas.openxmlformats.org/drawingml/2006/picture">
                <pic:pic>
                  <pic:nvPicPr>
                    <pic:cNvPr id="0" name="A 16982-2023 karta.png"/>
                    <pic:cNvPicPr/>
                  </pic:nvPicPr>
                  <pic:blipFill>
                    <a:blip r:embed="rId16"/>
                    <a:stretch>
                      <a:fillRect/>
                    </a:stretch>
                  </pic:blipFill>
                  <pic:spPr>
                    <a:xfrm>
                      <a:off x="0" y="0"/>
                      <a:ext cx="5486400" cy="3693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6957027, E 549209 i SWEREF 99 TM.</w:t>
      </w:r>
    </w:p>
    <w:p>
      <w:pPr>
        <w:pStyle w:val="Heading1"/>
      </w:pPr>
      <w:r>
        <w:t>Fridlysta arter</w:t>
      </w:r>
    </w:p>
    <w:p>
      <w:r>
        <w:t>Följande fridlysta arter har sina livsmiljöer och växtplatser i den avverkningsanmälda skogen: tornseglare (EN, §4), björktrast (NT, §4), buskskvätta (NT, §4), fiskmås (NT, §4), fjällvråk (NT, §4), havsörn (NT, §4), rödvingetrast (NT, §4), fiskgjuse (§4), grönsiska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