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34927-2023 i Bräcke kommun</w:t>
      </w:r>
    </w:p>
    <w:p>
      <w:r>
        <w:t>Detta dokument behandlar höga naturvärden i avverkningsanmälan A 34927-2023 i Bräcke kommun. Denna avverkningsanmälan inkom 2023-08-04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doftticka (VU, §8), knärot (VU, §8), läderdoftande fingersvamp (VU), stor odörspindling (VU), streckvaxskivling (VU), lunglav (NT), spillkråka (NT, §4), ullticka (NT), vedskivlav (NT), barrfagerspindling (S), bårdlav (S), diskvaxskivling (S), gytterlav (S), kamjordstjärna (S), kransrams (S), spindelblomster (S, §8), stor aspticka (S), svavelriska (S), vårärt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8964"/>
            <wp:docPr id="1" name="Picture 1"/>
            <wp:cNvGraphicFramePr>
              <a:graphicFrameLocks noChangeAspect="1"/>
            </wp:cNvGraphicFramePr>
            <a:graphic>
              <a:graphicData uri="http://schemas.openxmlformats.org/drawingml/2006/picture">
                <pic:pic>
                  <pic:nvPicPr>
                    <pic:cNvPr id="0" name="A 34927-2023 karta.png"/>
                    <pic:cNvPicPr/>
                  </pic:nvPicPr>
                  <pic:blipFill>
                    <a:blip r:embed="rId16"/>
                    <a:stretch>
                      <a:fillRect/>
                    </a:stretch>
                  </pic:blipFill>
                  <pic:spPr>
                    <a:xfrm>
                      <a:off x="0" y="0"/>
                      <a:ext cx="5486400" cy="458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6984864, E 503370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 xml:space="preserve">Streckvaxskivling (VU) </w:t>
      </w:r>
      <w:r>
        <w:t>är en mycket sällsynt art som bildar mykorrhiza med tall och gran på kalk- och örtrik mark i äldre barrblandskog, huvudsakligen ängsgranskog. Rationellt skogsbruk, särskilt slutavverkning och markberedning är förödande för arten. Streckvaxskivling är placerad högst upp i Skogsstyrelsens värdepyramid för bedömning av skog med höga naturvärden. Fler områden med äldre granskog på kalkhaltig mark bör skyddas och lämnas till fri utveckling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doftticka (VU, §8), knärot (VU, §8), spillkråka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5905167"/>
            <wp:docPr id="2" name="Picture 2"/>
            <wp:cNvGraphicFramePr>
              <a:graphicFrameLocks noChangeAspect="1"/>
            </wp:cNvGraphicFramePr>
            <a:graphic>
              <a:graphicData uri="http://schemas.openxmlformats.org/drawingml/2006/picture">
                <pic:pic>
                  <pic:nvPicPr>
                    <pic:cNvPr id="0" name="A 34927-2023 karta knärot.png"/>
                    <pic:cNvPicPr/>
                  </pic:nvPicPr>
                  <pic:blipFill>
                    <a:blip r:embed="rId17"/>
                    <a:stretch>
                      <a:fillRect/>
                    </a:stretch>
                  </pic:blipFill>
                  <pic:spPr>
                    <a:xfrm>
                      <a:off x="0" y="0"/>
                      <a:ext cx="5486400" cy="59051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6984864, E 503370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