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19337-2024 i Bräcke kommun</w:t>
      </w:r>
    </w:p>
    <w:p>
      <w:r>
        <w:t>Detta klagomål behandlar höga naturvärden i avverkningsanmälan A 19337-2024 i Bräcke kommun som inkom 2024-05-16 och omfattar 6,0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19337-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6962298, E 511881 i SWEREF 99 TM.</w:t>
      </w:r>
    </w:p>
    <w:p>
      <w:r>
        <w:t>I och inom 20 meter från avverkningsanmälan finns fynd av 12 naturvårdsarter, varav 5 är rödlistade, 4 är fridlysta, 11 är typiska (T) och 5 är signalarter (S): gränsticka (VU, T), gammelgransskål (NT, T), lavskrika (NT, T, §4), ullticka (NT, T), vedtrappmossa (NT, T), guckusko (S, T, §7), kransrams (S, T), svavelriska (S), tibast (S, T), underviol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