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40818-2024 i Bräcke kommun</w:t>
      </w:r>
    </w:p>
    <w:p>
      <w:r>
        <w:t>Detta klagomål behandlar höga naturvärden i avverkningsanmälan A 40818-2024 i Bräcke kommun som inkom 2024-09-23 och omfattar 2,7 ha.</w:t>
      </w:r>
    </w:p>
    <w:p>
      <w:pPr>
        <w:pStyle w:val="Caption"/>
      </w:pPr>
      <w:r>
        <w:drawing>
          <wp:inline xmlns:a="http://schemas.openxmlformats.org/drawingml/2006/main" xmlns:pic="http://schemas.openxmlformats.org/drawingml/2006/picture">
            <wp:extent cx="5486400" cy="4954728"/>
            <wp:docPr id="1" name="Picture 1"/>
            <wp:cNvGraphicFramePr>
              <a:graphicFrameLocks noChangeAspect="1"/>
            </wp:cNvGraphicFramePr>
            <a:graphic>
              <a:graphicData uri="http://schemas.openxmlformats.org/drawingml/2006/picture">
                <pic:pic>
                  <pic:nvPicPr>
                    <pic:cNvPr id="0" name="A 40818-2024 karta.png"/>
                    <pic:cNvPicPr/>
                  </pic:nvPicPr>
                  <pic:blipFill>
                    <a:blip r:embed="rId16"/>
                    <a:stretch>
                      <a:fillRect/>
                    </a:stretch>
                  </pic:blipFill>
                  <pic:spPr>
                    <a:xfrm>
                      <a:off x="0" y="0"/>
                      <a:ext cx="5486400" cy="495472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6968205, E 546031 i SWEREF 99 TM.</w:t>
      </w:r>
    </w:p>
    <w:p>
      <w:r>
        <w:t>I och inom 25 meter från avverkningsanmälan finns fynd av 16 naturvårdsarter, varav 14 är rödlistade, 1 är fridlyst, 7 är typiska (T) och 1 är signalart (S): garnlav (VU, T), lammticka (VU), skrovlig taggsvamp (VU), blå taggsvamp (NT, T), dropptaggsvamp (NT, T), orange taggsvamp (NT, T), skarp dropptaggsvamp (NT), tallfingersvamp (NT), talltita (NT, §4), vaxspindling (NT), vedtrappmossa (NT, T), violettgrå tagellav (NT, T), vitgrynig nållav (NT), äggvaxskivling (NT), rödgul trumpetsvamp (S)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