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20802-2026 i Bräcke kommun</w:t>
      </w:r>
    </w:p>
    <w:p>
      <w:r>
        <w:t>Denna tillsynsbegäran behandlar höga naturvärden i avverkningsanmälan A 20802-2026 i Bräcke kommun som inkom 2026-04-29 och omfattar 0,9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A 20802-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6990812, E 521112 i SWEREF 99 TM.</w:t>
      </w:r>
    </w:p>
    <w:p>
      <w:r>
        <w:t>I och inom 18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917503"/>
            <wp:docPr id="2" name="Picture 2"/>
            <wp:cNvGraphicFramePr>
              <a:graphicFrameLocks noChangeAspect="1"/>
            </wp:cNvGraphicFramePr>
            <a:graphic>
              <a:graphicData uri="http://schemas.openxmlformats.org/drawingml/2006/picture">
                <pic:pic>
                  <pic:nvPicPr>
                    <pic:cNvPr id="0" name="A 20802-2026 karta knärot.png"/>
                    <pic:cNvPicPr/>
                  </pic:nvPicPr>
                  <pic:blipFill>
                    <a:blip r:embed="rId17"/>
                    <a:stretch>
                      <a:fillRect/>
                    </a:stretch>
                  </pic:blipFill>
                  <pic:spPr>
                    <a:xfrm>
                      <a:off x="0" y="0"/>
                      <a:ext cx="5486400" cy="591750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6990812, E 521112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