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35630-2026 i Bräcke kommun</w:t>
      </w:r>
    </w:p>
    <w:p>
      <w:r>
        <w:t>Denna tillsynsbegäran behandlar höga naturvärden i avverkningsanmälan A 35630-2026 i Bräcke kommun som inkom 2026-08-31 och omfattar 5,9 ha.</w:t>
      </w:r>
    </w:p>
    <w:p>
      <w:pPr>
        <w:pStyle w:val="Caption"/>
      </w:pPr>
      <w:r>
        <w:drawing>
          <wp:inline xmlns:a="http://schemas.openxmlformats.org/drawingml/2006/main" xmlns:pic="http://schemas.openxmlformats.org/drawingml/2006/picture">
            <wp:extent cx="5486400" cy="4200584"/>
            <wp:docPr id="1" name="Picture 1"/>
            <wp:cNvGraphicFramePr>
              <a:graphicFrameLocks noChangeAspect="1"/>
            </wp:cNvGraphicFramePr>
            <a:graphic>
              <a:graphicData uri="http://schemas.openxmlformats.org/drawingml/2006/picture">
                <pic:pic>
                  <pic:nvPicPr>
                    <pic:cNvPr id="0" name="A 35630-2026 karta.png"/>
                    <pic:cNvPicPr/>
                  </pic:nvPicPr>
                  <pic:blipFill>
                    <a:blip r:embed="rId16"/>
                    <a:stretch>
                      <a:fillRect/>
                    </a:stretch>
                  </pic:blipFill>
                  <pic:spPr>
                    <a:xfrm>
                      <a:off x="0" y="0"/>
                      <a:ext cx="5486400" cy="42005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6996914, E 521003 i SWEREF 99 TM.</w:t>
      </w:r>
    </w:p>
    <w:p>
      <w:r>
        <w:t>I och inom 24 meter från avverkningsanmälan finns fynd av 11 naturvårdsarter, varav 10 är rödlistade, 6 är typiska (T) och 1 är signalart (S): gräddporing (VU, T), blå taggsvamp (NT, T), brunpudrad nållav (NT, T), dropptaggsvamp (NT, T), dvärgbägarlav (NT, T), kortskaftad ärgspik (NT), mörk kolflarnlav (NT), skarp dropptaggsvamp (NT), vaddporing (NT), vedflamlav (NT) och barkkornlav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brunpudrad nållav (NT, T), dropptaggsvamp (NT, T), dvärgbägarlav (NT, T) och barkkornlav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