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489-2024 i Bräcke kommun</w:t>
      </w:r>
    </w:p>
    <w:p>
      <w:r>
        <w:t>Denna tillsynsbegäran behandlar höga naturvärden i samrådsanmälan S 489-2024 i Bräcke kommun som inkom 2024-02-22 och omfattar 365,9 ha.</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S 489-2024 karta.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6949292, E 524715 i SWEREF 99 TM.</w:t>
      </w:r>
    </w:p>
    <w:p>
      <w:r>
        <w:t>I och inom 23 meter från samrådsanmälan finns fynd av 18 naturvårdsarter, varav 6 är rödlistade, 8 är fridlysta, 14 är typiska (T) och 5 är signalarter (S): aspgelélav (VU, T), doftticka (VU, T, §8), lavskrika (NT, T, §4), lunglav (NT, T), skrovellav (NT, T), talltita (NT, §4), finbräken (S, T), kransrams (S, T), plattlummer (S, T, §9), svart trolldruva (S, T), tvåblad (S, §8), blåsippa (T, §9), kärrfibbla (T), liljekonvalj (T), nordisk stormhatt (T), torta (T),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5335571"/>
            <wp:docPr id="2" name="Picture 2"/>
            <wp:cNvGraphicFramePr>
              <a:graphicFrameLocks noChangeAspect="1"/>
            </wp:cNvGraphicFramePr>
            <a:graphic>
              <a:graphicData uri="http://schemas.openxmlformats.org/drawingml/2006/picture">
                <pic:pic>
                  <pic:nvPicPr>
                    <pic:cNvPr id="0" name="S 489-2024 karta knärot.png"/>
                    <pic:cNvPicPr/>
                  </pic:nvPicPr>
                  <pic:blipFill>
                    <a:blip r:embed="rId17"/>
                    <a:stretch>
                      <a:fillRect/>
                    </a:stretch>
                  </pic:blipFill>
                  <pic:spPr>
                    <a:xfrm>
                      <a:off x="0" y="0"/>
                      <a:ext cx="5486400" cy="533557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6949292, E 524715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aspgelélav (VU, T), doftticka (VU, T, §8), lavskrika (NT, T, §4), lunglav (NT, T), skrovellav (NT, T), finbräken (S, T), kransrams (S, T), plattlummer (S, T, §9), svart trolldruva (S, T), blåsippa (T, §9), kärrfibbla (T), liljekonvalj (T), nordisk stormhatt (T)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