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51425-2023 i Bräcke kommun</w:t>
      </w:r>
    </w:p>
    <w:p>
      <w:r>
        <w:t>Detta klagomål behandlar höga naturvärden i avverkningsanmälan A 51425-2023 i Bräcke kommun som inkom 2023-10-20 och omfattar 7,6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51425-2023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6968766, E 563640 i SWEREF 99 TM.</w:t>
      </w:r>
    </w:p>
    <w:p>
      <w:r>
        <w:t>I och inom 16 meter från avverkningsanmälan finns fynd av 28 naturvårdsarter, varav 19 är rödlistade, 3 är fridlysta, 22 är typiska (T) och 9 är signalarter (S): doftticka (VU, T, §8), garnlav (VU, T), goliatmusseron (VU, T), knärot (VU, T, §8), skrovlig taggsvamp (VU), smalfotad taggsvamp (VU), blå taggsvamp (NT, T), dropptaggsvamp (NT, T), kolflarnlav (NT, T), lunglav (NT, T), mörk kolflarnlav (NT), rosenticka (NT, T), tallticka (NT, T), tretåig hackspett (NT, T, §4), ullticka (NT, T), vedtrappmossa (NT, T), vit vedfingersvamp (NT), vitgrynig nållav (NT), äggvaxskivling (NT), barkticka (S, T), bollvitmossa (S, T), bårdlav (S, T), gytterlav (S, T), korallblylav (S, T), luddlav (S, T), norrlandslav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404203"/>
            <wp:docPr id="2" name="Picture 2"/>
            <wp:cNvGraphicFramePr>
              <a:graphicFrameLocks noChangeAspect="1"/>
            </wp:cNvGraphicFramePr>
            <a:graphic>
              <a:graphicData uri="http://schemas.openxmlformats.org/drawingml/2006/picture">
                <pic:pic>
                  <pic:nvPicPr>
                    <pic:cNvPr id="0" name="A 51425-2023 karta knärot.png"/>
                    <pic:cNvPicPr/>
                  </pic:nvPicPr>
                  <pic:blipFill>
                    <a:blip r:embed="rId17"/>
                    <a:stretch>
                      <a:fillRect/>
                    </a:stretch>
                  </pic:blipFill>
                  <pic:spPr>
                    <a:xfrm>
                      <a:off x="0" y="0"/>
                      <a:ext cx="5486400" cy="4404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6968766, E 563640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