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43989-2023 i Bräcke kommun</w:t>
      </w:r>
    </w:p>
    <w:p>
      <w:r>
        <w:t>Denna tillsynsbegäran behandlar höga naturvärden i avverkningsanmälan A 43989-2023 i Bräcke kommun som inkom 2023-09-18 och omfattar 6,1 ha.</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43989-2023 karta.png"/>
                    <pic:cNvPicPr/>
                  </pic:nvPicPr>
                  <pic:blipFill>
                    <a:blip r:embed="rId16"/>
                    <a:stretch>
                      <a:fillRect/>
                    </a:stretch>
                  </pic:blipFill>
                  <pic:spPr>
                    <a:xfrm>
                      <a:off x="0" y="0"/>
                      <a:ext cx="5486400" cy="457462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6954643, E 555215 i SWEREF 99 TM.</w:t>
      </w:r>
    </w:p>
    <w:p>
      <w:r>
        <w:t>I och inom 10 meter från avverkningsanmälan finns fynd av 6 naturvårdsarter, varav 2 är rödlistade, 5 är fridlysta, 2 är typiska (T) och 2 är signalarter (S): brunklöver (NT), rödvingetrast (NT, §4), plattlummer (S, T, §9), spindelblomster (S, T, §8),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