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8515-2025 i Bräcke kommun</w:t>
      </w:r>
    </w:p>
    <w:p>
      <w:r>
        <w:t>Denna tillsynsbegäran behandlar höga naturvärden i avverkningsanmälan A 8515-2025 i Bräcke kommun som inkom 2025-02-21 och omfattar 6,1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8515-2025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6992619, E 552167 i SWEREF 99 TM.</w:t>
      </w:r>
    </w:p>
    <w:p>
      <w:r>
        <w:t>I och inom 22 meter från avverkningsanmälan finns fynd av 23 naturvårdsarter, varav 20 är rödlistade, 2 är fridlysta, 11 är typiska (T) och 3 är signalarter (S): knärot (VU, T, §8), smultronkantarell (VU), tajgataggsvamp (VU), blanksvart spiklav (NT), blågrå svartspik (NT), dropptaggsvamp (NT, T), dvärgbägarlav (NT, T), kolflarnlav (NT, T), kortskaftad ärgspik (NT), lunglav (NT, T), motaggsvamp (NT, T), mörk kolflarnlav (NT), skarp dropptaggsvamp (NT), talltita (NT, §4), ullticka (NT, T), vaddporing (NT), vedflamlav (NT), vedskivlav (NT, T), vedtrappmossa (NT, T), vitplätt (NT), dvärgtufs (S), gulnål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2.26 ha med buffertzonerna och får av detta skäl inte avverkas.</w:t>
      </w:r>
    </w:p>
    <w:p>
      <w:pPr>
        <w:pStyle w:val="Caption"/>
      </w:pPr>
      <w:r>
        <w:drawing>
          <wp:inline xmlns:a="http://schemas.openxmlformats.org/drawingml/2006/main" xmlns:pic="http://schemas.openxmlformats.org/drawingml/2006/picture">
            <wp:extent cx="5486400" cy="7108381"/>
            <wp:docPr id="2" name="Picture 2"/>
            <wp:cNvGraphicFramePr>
              <a:graphicFrameLocks noChangeAspect="1"/>
            </wp:cNvGraphicFramePr>
            <a:graphic>
              <a:graphicData uri="http://schemas.openxmlformats.org/drawingml/2006/picture">
                <pic:pic>
                  <pic:nvPicPr>
                    <pic:cNvPr id="0" name="A 8515-2025 karta knärot.png"/>
                    <pic:cNvPicPr/>
                  </pic:nvPicPr>
                  <pic:blipFill>
                    <a:blip r:embed="rId17"/>
                    <a:stretch>
                      <a:fillRect/>
                    </a:stretch>
                  </pic:blipFill>
                  <pic:spPr>
                    <a:xfrm>
                      <a:off x="0" y="0"/>
                      <a:ext cx="5486400" cy="71083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6992619, E 552167 i SWEREF 99 TM.</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dvärgbägarlav (NT, T), kolflarnlav (NT, T), lunglav (NT, T), motaggsvamp (NT, T), ullticka (NT, T), vedskivlav (NT, T), vedtrappmossa (NT, T), gulnål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