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41207-2025 i Bräcke kommun</w:t>
      </w:r>
    </w:p>
    <w:p>
      <w:r>
        <w:t>Detta klagomål behandlar höga naturvärden i avverkningsanmälan A 41207-2025 i Bräcke kommun som inkom 2025-08-29 och omfattar 2,9 ha.</w:t>
      </w:r>
    </w:p>
    <w:p>
      <w:pPr>
        <w:pStyle w:val="Caption"/>
      </w:pPr>
      <w:r>
        <w:drawing>
          <wp:inline xmlns:a="http://schemas.openxmlformats.org/drawingml/2006/main" xmlns:pic="http://schemas.openxmlformats.org/drawingml/2006/picture">
            <wp:extent cx="4881841" cy="5724000"/>
            <wp:docPr id="1" name="Picture 1"/>
            <wp:cNvGraphicFramePr>
              <a:graphicFrameLocks noChangeAspect="1"/>
            </wp:cNvGraphicFramePr>
            <a:graphic>
              <a:graphicData uri="http://schemas.openxmlformats.org/drawingml/2006/picture">
                <pic:pic>
                  <pic:nvPicPr>
                    <pic:cNvPr id="0" name="A 41207-2025 karta.png"/>
                    <pic:cNvPicPr/>
                  </pic:nvPicPr>
                  <pic:blipFill>
                    <a:blip r:embed="rId16"/>
                    <a:stretch>
                      <a:fillRect/>
                    </a:stretch>
                  </pic:blipFill>
                  <pic:spPr>
                    <a:xfrm>
                      <a:off x="0" y="0"/>
                      <a:ext cx="4881841"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6981326, E 515088 i SWEREF 99 TM.</w:t>
      </w:r>
    </w:p>
    <w:p>
      <w:r>
        <w:t>I och inom 9 meter från avverkningsanmälan finns fynd av 31 naturvårdsarter, varav 20 är rödlistade, 3 är fridlysta, 24 är typiska (T) och 10 är signalarter (S): Abrothallus diederichii (VU), Calycina lobariae (VU), garnlav (VU, T), knärot (VU, T, §8), liten aspgelélav (VU, T), mjölig dropplav (VU), sprickporing (VU), koralltaggsvamp (NT, T), liten svartspik (NT), lunglav (NT, T), rosa skärelav (NT, T), rosenticka (NT, T), rynkskinn (NT, T), skrovellav (NT, T), skuggblåslav (NT, T), stiftgelélav (NT, T), tretåig hackspett (NT, T, §4), ullticka (NT, T), vedtrappmossa (NT, T), vitgrynig nållav (NT), barkkornlav (S, T), gulnål (S, T), korallblylav (S, T), luddlav (S, T), norrlandslav (S, T), rostfläck (S, T), skinnlav (S, T), stuplav (S, T), vedticka (S, T), ögonpyrola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Abrothallus diederichii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5818224"/>
            <wp:docPr id="2" name="Picture 2"/>
            <wp:cNvGraphicFramePr>
              <a:graphicFrameLocks noChangeAspect="1"/>
            </wp:cNvGraphicFramePr>
            <a:graphic>
              <a:graphicData uri="http://schemas.openxmlformats.org/drawingml/2006/picture">
                <pic:pic>
                  <pic:nvPicPr>
                    <pic:cNvPr id="0" name="A 41207-2025 karta knärot.png"/>
                    <pic:cNvPicPr/>
                  </pic:nvPicPr>
                  <pic:blipFill>
                    <a:blip r:embed="rId17"/>
                    <a:stretch>
                      <a:fillRect/>
                    </a:stretch>
                  </pic:blipFill>
                  <pic:spPr>
                    <a:xfrm>
                      <a:off x="0" y="0"/>
                      <a:ext cx="5486400" cy="58182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6981326, E 515088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