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klagomål behandlar höga naturvärden i avverkningsanmälan A 8515-2025 i Bräcke kommun som inkom 2025-02-21 och omfattar 6,1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6992619, E 552167 i SWEREF 99 TM.</w:t>
      </w:r>
    </w:p>
    <w:p>
      <w:r>
        <w:t>I och inom 22 meter från avverkningsanmälan finns fynd av 23 naturvårdsarter, varav 20 är rödlistade, 2 är fridlysta, 11 är typiska (T) och 3 är signalarter (S): knärot (VU, T, §8), smultronkantarell (VU), tajgataggsvamp (VU), blanksvart spiklav (NT), blågrå svartspik (NT), dropptaggsvamp (NT, T), dvärgbägarlav (NT, T), kolflarnlav (NT, T), kortskaftad ärgspik (NT), lunglav (NT, T), motaggsvamp (NT, T), mörk kolflarnlav (NT), skarp dropptaggsvamp (NT), talltita (NT, §4), ullticka (NT, T), vaddporing (NT), vedflamlav (NT), vedskivlav (NT, T), vedtrappmossa (NT, T), vitplätt (NT), dvärgtufs (S),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