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51037-2023 i Bräcke kommun</w:t>
      </w:r>
    </w:p>
    <w:p>
      <w:r>
        <w:t>Detta klagomål behandlar höga naturvärden i avverkningsanmälan A 51037-2023 i Bräcke kommun som inkom 2023-10-19 och omfattar 6,8 ha.</w:t>
      </w:r>
    </w:p>
    <w:p>
      <w:pPr>
        <w:pStyle w:val="Caption"/>
      </w:pPr>
      <w:r>
        <w:drawing>
          <wp:inline xmlns:a="http://schemas.openxmlformats.org/drawingml/2006/main" xmlns:pic="http://schemas.openxmlformats.org/drawingml/2006/picture">
            <wp:extent cx="5486400" cy="4490977"/>
            <wp:docPr id="1" name="Picture 1"/>
            <wp:cNvGraphicFramePr>
              <a:graphicFrameLocks noChangeAspect="1"/>
            </wp:cNvGraphicFramePr>
            <a:graphic>
              <a:graphicData uri="http://schemas.openxmlformats.org/drawingml/2006/picture">
                <pic:pic>
                  <pic:nvPicPr>
                    <pic:cNvPr id="0" name="A 51037-2023 karta.png"/>
                    <pic:cNvPicPr/>
                  </pic:nvPicPr>
                  <pic:blipFill>
                    <a:blip r:embed="rId16"/>
                    <a:stretch>
                      <a:fillRect/>
                    </a:stretch>
                  </pic:blipFill>
                  <pic:spPr>
                    <a:xfrm>
                      <a:off x="0" y="0"/>
                      <a:ext cx="5486400" cy="4490977"/>
                    </a:xfrm>
                    <a:prstGeom prst="rect"/>
                  </pic:spPr>
                </pic:pic>
              </a:graphicData>
            </a:graphic>
          </wp:inline>
        </w:drawing>
      </w:r>
    </w:p>
    <w:p>
      <w:pPr>
        <w:pStyle w:val="Caption"/>
        <w:spacing w:after="240"/>
      </w:pPr>
      <w:r>
        <w:t>Figur 1. Fyndplatser för naturvårdsarter i och inom 4 meter från avverkningsanmälan. Markörer utan svart kant är placerade på fyndplatsen. Markörer med svart kant är placerade vid sidan av fyndplatsen har ett svart streck som visar fyndplatsens exakta position. Kartans mittpunktskoordinat är N 6990872, E 554040 i SWEREF 99 TM.</w:t>
      </w:r>
    </w:p>
    <w:p>
      <w:r>
        <w:t>I och inom 4 meter från avverkningsanmälan finns fynd av 9 naturvårdsarter, varav 4 är rödlistade, 1 är fridlyst, 8 är typiska (T) och 5 är signalarter (S): doftticka (VU, T, §8), kolflarnlav (NT, T), lunglav (NT, T), skrovellav (NT, T), bårdlav (S, T), gytterlav (S, T), luddlav (S, T), rödgul trumpetsvamp (S)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 xml:space="preserve">Gytterlav </w:t>
      </w:r>
      <w:r>
        <w:t xml:space="preserve">signalerar höga naturvärden i södra och mellersta Sverige, samt längs Norrlands kustland. Förekomster i söder, framför allt på trädstammar, är en indikation på gammal skogsmark med långvarig förekomst av äldre lövträd i miljöer med hög och jämn luftfuktighet. Gytterlav är typisk art för </w:t>
      </w:r>
      <w:r>
        <w:rPr>
          <w:i/>
        </w:rPr>
        <w:t xml:space="preserve">9040 Fjällbjörkskog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