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59052-2025 i Bräcke kommun</w:t>
      </w:r>
    </w:p>
    <w:p>
      <w:r>
        <w:t>Detta klagomål behandlar höga naturvärden i avverkningsanmälan A 59052-2025 i Bräcke kommun som inkom 2025-11-27 och omfattar 5,4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A 59052-2025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6956196, E 510105 i SWEREF 99 TM.</w:t>
      </w:r>
    </w:p>
    <w:p>
      <w:r>
        <w:t>I och inom 25 meter från avverkningsanmälan finns fynd av 13 naturvårdsarter, varav 12 är rödlistade, 2 är fridlysta, 7 är typiska (T) och 1 är signalart (S): aspgelélav (VU, T), garnlav (VU, T), blanksvart spiklav (NT), kolflarnlav (NT, T), lunglav (NT, T), mörk kolflarnlav (NT), nordtagging (NT), talltagel (NT, T), talltita (NT, §4), tretåig hackspett (NT, T, §4), vedflamlav (NT), vitgrynig nållav (NT)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