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62079-2022 i Bräcke kommun</w:t>
      </w:r>
    </w:p>
    <w:p>
      <w:r>
        <w:t>Detta klagomål behandlar höga naturvärden i avverkningsanmälan A 62079-2022 i Bräcke kommun som inkom 2022-12-23 och omfattar 3,0 ha.</w:t>
      </w:r>
    </w:p>
    <w:p>
      <w:pPr>
        <w:pStyle w:val="Caption"/>
      </w:pPr>
      <w:r>
        <w:drawing>
          <wp:inline xmlns:a="http://schemas.openxmlformats.org/drawingml/2006/main" xmlns:pic="http://schemas.openxmlformats.org/drawingml/2006/picture">
            <wp:extent cx="5374908" cy="5724000"/>
            <wp:docPr id="1" name="Picture 1"/>
            <wp:cNvGraphicFramePr>
              <a:graphicFrameLocks noChangeAspect="1"/>
            </wp:cNvGraphicFramePr>
            <a:graphic>
              <a:graphicData uri="http://schemas.openxmlformats.org/drawingml/2006/picture">
                <pic:pic>
                  <pic:nvPicPr>
                    <pic:cNvPr id="0" name="A 62079-2022 karta.png"/>
                    <pic:cNvPicPr/>
                  </pic:nvPicPr>
                  <pic:blipFill>
                    <a:blip r:embed="rId16"/>
                    <a:stretch>
                      <a:fillRect/>
                    </a:stretch>
                  </pic:blipFill>
                  <pic:spPr>
                    <a:xfrm>
                      <a:off x="0" y="0"/>
                      <a:ext cx="5374908"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6988481, E 558579 i SWEREF 99 TM.</w:t>
      </w:r>
    </w:p>
    <w:p>
      <w:r>
        <w:t>I och inom 8 meter från avverkningsanmälan finns fynd av 5 naturvårdsarter, varav 2 är rödlistade, 3 är fridlysta, 1 är typisk (T) och 1 är signalart (S): garnlav (VU, T), ängsblåvinge (VU), tvåblad (S, §8), brudsporre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