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som inkom 2024-06-24 och omfattar 40,9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