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29467-2025 i Bräcke kommun</w:t>
      </w:r>
    </w:p>
    <w:p>
      <w:r>
        <w:t>Detta dokument behandlar höga naturvärden i avverkningsanmälan A 29467-2025 i Bräcke kommun som inkom 2025-06-16 och omfattar 9,9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421330"/>
            <wp:docPr id="1" name="Picture 1"/>
            <wp:cNvGraphicFramePr>
              <a:graphicFrameLocks noChangeAspect="1"/>
            </wp:cNvGraphicFramePr>
            <a:graphic>
              <a:graphicData uri="http://schemas.openxmlformats.org/drawingml/2006/picture">
                <pic:pic>
                  <pic:nvPicPr>
                    <pic:cNvPr id="0" name="A 29467-2025 karta.png"/>
                    <pic:cNvPicPr/>
                  </pic:nvPicPr>
                  <pic:blipFill>
                    <a:blip r:embed="rId16"/>
                    <a:stretch>
                      <a:fillRect/>
                    </a:stretch>
                  </pic:blipFill>
                  <pic:spPr>
                    <a:xfrm>
                      <a:off x="0" y="0"/>
                      <a:ext cx="5486400" cy="442133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6961699, E 572148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15 naturvårdsarter hittats: garnlav (VU, T), spadskinn (VU), blanksvart spiklav (NT), blå taggsvamp (NT, T), dropptaggsvamp (NT, T), dvärgbägarlav (NT, T), skarp dropptaggsvamp (NT), svartvit taggsvamp (NT), ullticka (NT, T), vaddporing (NT), vedflamlav (NT), vitplätt (NT), oljeporing (DD), bollvitmossa (S, T) och grönpyrola (S, T). Av dessa är 13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Oljeporing (DD)</w:t>
      </w:r>
      <w:r>
        <w:t xml:space="preserve"> är en sällsynt art med få fynd spridda över landet. Oklar status och ekologi men avverkning av skog innebär att arten får svårt att överleva eftersom sambandet med levande träd går förlorad. Faktaunderlaget bedöms vara otillräckligt för att avgöra vilken av de olika rödlistningskategorierna som är mest trolig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dvärgbägarlav (NT, T), ullticka (NT, T), bollvitmossa (S,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