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30112-2025 i Bräcke kommun</w:t>
      </w:r>
    </w:p>
    <w:p>
      <w:r>
        <w:t>Detta dokument behandlar höga naturvärden i avverkningsanmälan A 30112-2025 i Bräcke kommun som inkom 2025-06-18 och omfattar 8,9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12322" cy="5688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12322"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6972510, E 556467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9 naturvårdsarter hittats: knärot (VU, T, §8), rosenticka (NT, T), skuggblåslav (NT, T), ullticka (NT, T), vitgrynig nållav (NT), kransrams (S, T), spillkråka (T, §4), tjäder (T, §4)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Kransrams</w:t>
      </w:r>
      <w:r>
        <w:t xml:space="preserve"> är typisk art för </w:t>
      </w:r>
      <w:r>
        <w:rPr>
          <w:i/>
        </w:rPr>
        <w:t xml:space="preserve">9020 Nordlig ädellövskog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skuggblåslav (NT, T), ullticka (NT, T), kransrams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