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34848-2020 i Bräcke kommun</w:t>
      </w:r>
    </w:p>
    <w:p>
      <w:r>
        <w:t>Detta dokument behandlar höga naturvärden i avverkningsanmälan A 34848-2020 i Bräcke kommun. Denna avverkningsanmälan inkom 2020-07-24 och omfattar 43,5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dvärgbägarlav (NT), garnlav (NT), kolflarnlav (NT), lunglav (NT), mörk kolflarnlav (NT), vedflamlav (NT), vedskivlav (NT), bronshjon (S), dropptaggsvamp (S), gräsull (S), guckusko (S, §7), kransrams (S), svart trolldruva (S), svavelriska (S), tvåblad (S, §8), vågbandad barkbock (S), brudsporre (§8), fläcknycklar (§8)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4848-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6965438, E 518931 i SWEREF 99 TM.</w:t>
      </w:r>
    </w:p>
    <w:p>
      <w:pPr>
        <w:pStyle w:val="Heading1"/>
      </w:pPr>
      <w:r>
        <w:t>Fridlysta arter</w:t>
      </w:r>
    </w:p>
    <w:p>
      <w:r>
        <w:t>Följande fridlysta arter har sina livsmiljöer och växtplatser i den avverkningsanmälda skogen: knärot (VU, §8), guckusko (S, §7), tvåblad (S, §8), brudsporre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4848-2020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6965438, E 518931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