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41387-2026 i Bräcke kommun</w:t>
      </w:r>
    </w:p>
    <w:p>
      <w:r>
        <w:t>Detta klagomål behandlar höga naturvärden i avverkningsanmälan A 41387-2026 i Bräcke kommun som inkom 2026-10-06 och omfattar 26,4 ha.</w:t>
      </w:r>
    </w:p>
    <w:p>
      <w:pPr>
        <w:pStyle w:val="Caption"/>
      </w:pPr>
      <w:r>
        <w:drawing>
          <wp:inline xmlns:a="http://schemas.openxmlformats.org/drawingml/2006/main" xmlns:pic="http://schemas.openxmlformats.org/drawingml/2006/picture">
            <wp:extent cx="5486400" cy="5001862"/>
            <wp:docPr id="1" name="Picture 1"/>
            <wp:cNvGraphicFramePr>
              <a:graphicFrameLocks noChangeAspect="1"/>
            </wp:cNvGraphicFramePr>
            <a:graphic>
              <a:graphicData uri="http://schemas.openxmlformats.org/drawingml/2006/picture">
                <pic:pic>
                  <pic:nvPicPr>
                    <pic:cNvPr id="0" name="A 41387-2026 karta.png"/>
                    <pic:cNvPicPr/>
                  </pic:nvPicPr>
                  <pic:blipFill>
                    <a:blip r:embed="rId16"/>
                    <a:stretch>
                      <a:fillRect/>
                    </a:stretch>
                  </pic:blipFill>
                  <pic:spPr>
                    <a:xfrm>
                      <a:off x="0" y="0"/>
                      <a:ext cx="5486400" cy="5001862"/>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6962650, E 531490 i SWEREF 99 TM.</w:t>
      </w:r>
    </w:p>
    <w:p>
      <w:r>
        <w:t>Inom 25 meter från avverkningsanmälan finns fynd av 2 naturvårdsarter, varav 2 är rödlistade och 2 är typiska (T): lunglav (NT, T) och vedtrappmossa (NT,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Knärot (VU, §8)</w:t>
      </w:r>
      <w:r>
        <w:t xml:space="preserve"> är typisk art för </w:t>
      </w:r>
      <w:r>
        <w:rPr>
          <w:i/>
        </w:rPr>
        <w:t xml:space="preserve">9010 Taiga </w:t>
      </w:r>
      <w:r>
        <w:t>och</w:t>
      </w:r>
      <w:r>
        <w:rPr>
          <w:i/>
        </w:rPr>
        <w:t xml:space="preserve"> 9050 Näringsrik granskog</w:t>
      </w:r>
      <w:r>
        <w:t xml:space="preserve">, rödlistad som sårbar och fridlyst enligt 8§ artskyddsförordningen. En nyligen genomförd analys av 79 floraväktarlokaler indikerar att det behövs någonstans mellan 100 och 150 meters skyddszon för att en knärotspopulation inte ska dö ut på lång sikt (Sebestyén &amp; Sundberg, 2025). Detta ligger väl i linje med tidigare genomförda studier som visar att det krävs väl tilltagna buffertzoner för att knäroten inte ska ta skada av skogsbruksåtgärder i intilliggande skog (Johnson, 2014; Koelmeijer m.fl., 2022; Skogsstyrelsen, 2022). Arten är även känslig för gallring vilket framgår av Skogsstyrelsens egen vägledning för hänsyn till knärot (Skogsstyrelsen, 2022). Ytterligare en studie visar på den starka korrelationen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 För rika förekomster av knärot är reservatsbildning eller biotopskydd lämpliga åtgärder för att skydda den. På knärot kan den sällsynta rostsvampen </w:t>
      </w:r>
      <w:r>
        <w:rPr>
          <w:i/>
        </w:rPr>
        <w:t>Pucciniastrum goodyerae</w:t>
      </w:r>
      <w:r>
        <w:t xml:space="preserve"> påträffas. </w:t>
      </w:r>
      <w:r>
        <w:rPr>
          <w:i/>
        </w:rPr>
        <w:t>Pucciniastrum goodyerae</w:t>
      </w:r>
      <w:r>
        <w:t xml:space="preserve"> är klassad som NE (ej bedömd) i rödlistan (SLU Artdatabanken, 2024).</w:t>
      </w:r>
    </w:p>
    <w:p>
      <w:r>
        <w:t>I det avverkningsanmälda området finns 0 fyndplatser för knärot registrerade på Artportalen. Figur 2 visar gränserna för buffertzoner på 50 m, som behöver lämnas kring fyndplatserna för att knärotslokalerna inte ska försvinna vid en avverkning. Av det avverkningsanmälda området överlappar 0.03 ha med buffertzonerna och får av detta skäl inte avverkas.</w:t>
      </w:r>
    </w:p>
    <w:p>
      <w:pPr>
        <w:pStyle w:val="Caption"/>
      </w:pPr>
      <w:r>
        <w:drawing>
          <wp:inline xmlns:a="http://schemas.openxmlformats.org/drawingml/2006/main" xmlns:pic="http://schemas.openxmlformats.org/drawingml/2006/picture">
            <wp:extent cx="5486400" cy="5001862"/>
            <wp:docPr id="2" name="Picture 2"/>
            <wp:cNvGraphicFramePr>
              <a:graphicFrameLocks noChangeAspect="1"/>
            </wp:cNvGraphicFramePr>
            <a:graphic>
              <a:graphicData uri="http://schemas.openxmlformats.org/drawingml/2006/picture">
                <pic:pic>
                  <pic:nvPicPr>
                    <pic:cNvPr id="0" name="A 41387-2026 karta knärot.png"/>
                    <pic:cNvPicPr/>
                  </pic:nvPicPr>
                  <pic:blipFill>
                    <a:blip r:embed="rId17"/>
                    <a:stretch>
                      <a:fillRect/>
                    </a:stretch>
                  </pic:blipFill>
                  <pic:spPr>
                    <a:xfrm>
                      <a:off x="0" y="0"/>
                      <a:ext cx="5486400" cy="5001862"/>
                    </a:xfrm>
                    <a:prstGeom prst="rect"/>
                  </pic:spPr>
                </pic:pic>
              </a:graphicData>
            </a:graphic>
          </wp:inline>
        </w:drawing>
      </w:r>
    </w:p>
    <w:p>
      <w:pPr>
        <w:pStyle w:val="Caption"/>
        <w:spacing w:after="240"/>
      </w:pPr>
      <w:r>
        <w:t>Figur 2. Fyndplatser och buffertzoner för knärot i det avverkningsanmälda området. Endast fyndplatser vars buffertzoner överlappar med det avverkningsanmälda området har tagits med i visualiseringen. Kartans mittpunktskoordinat är N 6962650, E 531490 i SWEREF 99 TM.</w:t>
      </w:r>
    </w:p>
    <w:p>
      <w:r>
        <w:rPr>
          <w:b/>
        </w:rPr>
        <w:t>Lunglav (NT)</w:t>
      </w:r>
      <w:r>
        <w:t xml:space="preserve"> är en av vårt lands främsta signalarter som överallt indikerar gamla lövträd, skogsbestånd med höga naturvärden och ekosystem med långskoglig kontinuitet. Lokalt kan förekomsten vara mycket riklig men den hittas nästan enbart i gamla och ej slutavverkade skogar. Artens samtliga förekomster bör uppmärksammas från naturvårdssynpunkt, då många lokaler även hyser andra ovanliga och rödlistade arter. Rikliga förekomster bör skyddas med biotopskydd, frivilliga avsättningar eller reservat. På lunglav kan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påträffas. 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 Nitare &amp; Skogsstyrelsen, 2019).</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2 naturvårdsarter varav 2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w:t>
        <w:br/>
        <w:t>Fridlysta och rödlistade arter</w:t>
      </w:r>
    </w:p>
    <w:p>
      <w:pPr>
        <w:pStyle w:val="Heading1"/>
      </w:pPr>
      <w:r>
        <w:t>Knärot – ekologi samt krav på livsmiljön</w:t>
      </w:r>
    </w:p>
    <w:p>
      <w:r>
        <w:t xml:space="preserve">Knärot är typisk art för </w:t>
      </w:r>
      <w:r>
        <w:rPr>
          <w:i/>
        </w:rPr>
        <w:t xml:space="preserve">9010 Taiga </w:t>
      </w:r>
      <w:r>
        <w:t>och</w:t>
      </w:r>
      <w:r>
        <w:rPr>
          <w:i/>
        </w:rPr>
        <w:t xml:space="preserve"> 9050 Näringsrik granskog</w:t>
      </w:r>
      <w:r>
        <w:t>,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 förhållande till sin generationstid än vad som tidigare varit känt (data från Riksskogstaxeringen) höjdes den till hotkategori sårbar (VU) i rödlistan 2020 (SLU Artdatabanken, 2024).</w:t>
      </w:r>
    </w:p>
    <w:p>
      <w:r>
        <w:t>En analys av 79 floraväktarlokaler åren 1990–2015 vilka återbesökts under 2020–2024 visade på en tydlig negativ påverkan på knärotsförekomster från större hyggen i närområdet (inom 150–200 m) vilket indikerar att kanteffekter har en stor påverkan på populationerna. Resultaten bekräftar knärotens känslighet för kanteffekter och visar vikten av att skydda större skogsbestånd för att bevara arten. Om det blir höga andelar (&gt;30%) hyggen inom 200 meter från en knärotsförekomst så ökar risken för att en knärotspopulation dör ut och det verkar det behövas någonstans mellan 100 och 150 meters skyddszon för att bevara arten på lång sikt (Sebestyén &amp; Sundberg, 2025). Detta stöds även av en studie (Johansson et al, 2026) baserad på data från Riksskogstaxeringen som visar att knäroten minskat med 66 % under perioden 1993–2022 samt att det finns en stark korrelation mellan minskande arealer kontinuitetsskog och lokal utdöenderisk. Knäroten uppvisade en mycket låg koloniseringsgrad (0,7 % över 10 år) i kombination med hög lokal utrotningsrisk (75,2 %), där utrotningssannolikheten ökade kraftigt när arealen kontinuitetsskog minskade mellan undersökningar, t.ex. på grund av kalhyggesbruk (Johansson et al., 2026).</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Ytterligare en studie (Koelmeijer m.fl., 2022) inkluderar knärotens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r>
        <w:t>Vid tillämpning av försiktighetsprincipen enligt 2 kap. 3 § miljöbalken bör sålunda 100–150 meters skyddszon lämnas runt knärotens växtplatser.</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Ecological Applications, 22, 2049–2064.</w:t>
      </w:r>
    </w:p>
    <w:p>
      <w:r>
        <w:t>Johansson, V., Jansson, M. och Bergman, K-O</w:t>
      </w:r>
      <w:r>
        <w:rPr>
          <w:i/>
        </w:rPr>
        <w:t>.</w:t>
      </w:r>
      <w:r>
        <w:t>, 2026.</w:t>
      </w:r>
      <w:r>
        <w:rPr>
          <w:i/>
        </w:rPr>
        <w:t xml:space="preserve"> A 30-year population decline of a threatened forest orchid associated with old growth forests</w:t>
      </w:r>
      <w:r>
        <w:t>. Department of Physics, Chemistry and Biology (IFM), Linköping University.</w:t>
      </w:r>
    </w:p>
    <w:p>
      <w:r>
        <w:t xml:space="preserve">Johnson, S., 2014. </w:t>
      </w:r>
      <w:r>
        <w:rPr>
          <w:i/>
        </w:rPr>
        <w:t>Retention Forestry as a Conservation Measure for Boreal Forest Ground Vegetation</w:t>
      </w:r>
      <w:r>
        <w:t>. Doktorsavhandling, SLU, Uppsala.</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Sebestyén, L. och Sundberg, S. 2025.  </w:t>
      </w:r>
      <w:r>
        <w:rPr>
          <w:i/>
        </w:rPr>
        <w:t>Påverkan på knärotslokaler från hyggen i närheten.</w:t>
      </w:r>
      <w:r>
        <w:t xml:space="preserve"> DAPHNE 36:1 2025. Botaniska Sällskapet i Stockholm.</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2024. </w:t>
      </w:r>
      <w:r>
        <w:rPr>
          <w:i/>
        </w:rPr>
        <w:t xml:space="preserve">Artfaktablad. Naturvård – artfakta. </w:t>
      </w:r>
      <w:r>
        <w:t>SLU Artdatabanken, Uppsala.</w:t>
      </w:r>
    </w:p>
    <w:p>
      <w:pPr>
        <w:pStyle w:val="Heading1"/>
      </w:pPr>
      <w:r>
        <w:t>Lunglav – ekologi samt krav på livsmiljön</w:t>
      </w:r>
    </w:p>
    <w:p>
      <w:r>
        <w:t xml:space="preserve">Lunglav (NT) är en av vårt lands främsta signalarter som överallt indikerar gamla lövträd, skogsbestånd med höga naturvärden och ekosystem med lång skoglig kontinuitet. Lokalt kan förekomsten vara mycket riklig men den hittas nästan enbart i gamla och ej slutavverkade skogar. Artens samtliga förekomster bör uppmärksammas från naturvårdssynpunkt, då många lokaler även hyser andra ovanliga och rödlistade arter, däribland de sällsynta lavparasiterna lunglavshårprick (CR), </w:t>
      </w:r>
      <w:r>
        <w:rPr>
          <w:i/>
        </w:rPr>
        <w:t>Abrothallus diederichii</w:t>
      </w:r>
      <w:r>
        <w:t xml:space="preserve"> (VU), </w:t>
      </w:r>
      <w:r>
        <w:rPr>
          <w:i/>
        </w:rPr>
        <w:t>Abrothallus lobariae</w:t>
      </w:r>
      <w:r>
        <w:t xml:space="preserve"> (VU), </w:t>
      </w:r>
      <w:r>
        <w:rPr>
          <w:i/>
        </w:rPr>
        <w:t>Calycina lobariae</w:t>
      </w:r>
      <w:r>
        <w:t xml:space="preserve"> (VU), lunglavsknapp (VU) och skrovelmössing (VU), som växer på lunglav. Rikliga förekomster med lunglav bör skyddas med biotopskydd, frivilliga avsättningar eller reservat (SLU Artdatabanken, 2026; Nitare &amp; Skogsstyrelsen, 2019).</w:t>
      </w:r>
    </w:p>
    <w:p>
      <w:r>
        <w:t xml:space="preserve">Lunglav är typisk art för </w:t>
      </w:r>
      <w:r>
        <w:rPr>
          <w:i/>
        </w:rPr>
        <w:t>9010 Taiga, 9020 Nordlig ädellövskog, 9110 Näringsfattig bokskog, 9130 Näringsrik bokskog, 9160 Näringsrik ekskog, 9180 Ädellövskog i branter, 9190 Näringsfattig ekskog, 9070 Trädklädd betesmark, 9040 Fjällbjörkskog</w:t>
      </w:r>
      <w:r>
        <w:t xml:space="preserve"> och</w:t>
      </w:r>
      <w:r>
        <w:rPr>
          <w:i/>
        </w:rPr>
        <w:t xml:space="preserve"> 6530 Lövängar</w:t>
      </w:r>
      <w:r>
        <w:t xml:space="preserve"> (SLU Artdatabanken, 2026).</w:t>
      </w:r>
    </w:p>
    <w:p>
      <w:pPr>
        <w:pStyle w:val="Heading2"/>
      </w:pPr>
      <w:r>
        <w:t>Referenser – lunglav</w:t>
      </w:r>
    </w:p>
    <w:p>
      <w:r>
        <w:t xml:space="preserve">Nitare, J. och Skogsstyrelsen, 2019. </w:t>
      </w:r>
      <w:r>
        <w:rPr>
          <w:i/>
        </w:rPr>
        <w:t xml:space="preserve">Skyddsvärd skog – Naturvårdsarter och andra kriterier för naturvärdesbedömning. </w:t>
      </w:r>
      <w:r>
        <w:t>Skogsstyrelsen.</w:t>
      </w:r>
    </w:p>
    <w:p>
      <w:r>
        <w:t xml:space="preserve">SLU Artdatabanken, 2026.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2026-10-15</w:t>
      <w:br/>
      <w:br/>
    </w:r>
    <w:r>
      <w:t>Till: SCA</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