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46328-2022 i Bräcke kommun</w:t>
      </w:r>
    </w:p>
    <w:p>
      <w:r>
        <w:t>Detta klagomål behandlar höga naturvärden i avverkningsanmälan A 46328-2022 i Bräcke kommun som inkom 2022-10-13 och omfattar 17,7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46328-2022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6960144, E 547713 i SWEREF 99 TM.</w:t>
      </w:r>
    </w:p>
    <w:p>
      <w:r>
        <w:t>I och inom 24 meter från avverkningsanmälan finns fynd av 30 naturvårdsarter, varav 21 är rödlistade, 11 är fridlysta, 20 är typiska (T) och 4 är signalarter (S): doftticka (VU, T, §8), garnlav (VU, T), knärot (VU, T, §8), lammticka (VU), blå taggsvamp (NT, T), dofttaggsvamp (NT, T), dropptaggsvamp (NT, T), fjällig taggsvamp s.str. (NT), järnsparv (NT, §4), kolflarnlav (NT, T), lunglav (NT, T), orange taggsvamp (NT, T), rosenticka (NT, T), skarp dropptaggsvamp (NT), skrovellav (NT, T), tallticka (NT, T), talltita (NT, §4), tretåig hackspett (NT, T, §4), ullticka (NT, T), vedtrappmossa (NT, T), äggvaxskivling (NT), spindelblomster (S, T, §8), stuplav (S, T), svavelriska (S), trådticka (S, T), järpe (T, §4), tjäder (T, §4), svartvit flugsnappare (§4), ärtsångare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7.35 ha med buffertzonerna och får av detta skäl inte avverkas.</w:t>
      </w:r>
    </w:p>
    <w:p>
      <w:pPr>
        <w:pStyle w:val="Caption"/>
      </w:pPr>
      <w:r>
        <w:drawing>
          <wp:inline xmlns:a="http://schemas.openxmlformats.org/drawingml/2006/main" xmlns:pic="http://schemas.openxmlformats.org/drawingml/2006/picture">
            <wp:extent cx="5486400" cy="3964914"/>
            <wp:docPr id="2" name="Picture 2"/>
            <wp:cNvGraphicFramePr>
              <a:graphicFrameLocks noChangeAspect="1"/>
            </wp:cNvGraphicFramePr>
            <a:graphic>
              <a:graphicData uri="http://schemas.openxmlformats.org/drawingml/2006/picture">
                <pic:pic>
                  <pic:nvPicPr>
                    <pic:cNvPr id="0" name="A 46328-2022 karta knärot.png"/>
                    <pic:cNvPicPr/>
                  </pic:nvPicPr>
                  <pic:blipFill>
                    <a:blip r:embed="rId17"/>
                    <a:stretch>
                      <a:fillRect/>
                    </a:stretch>
                  </pic:blipFill>
                  <pic:spPr>
                    <a:xfrm>
                      <a:off x="0" y="0"/>
                      <a:ext cx="5486400" cy="39649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6960144, E 547713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