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38158-2025 i Bräcke kommun</w:t>
      </w:r>
    </w:p>
    <w:p>
      <w:r>
        <w:t>Denna tillsynsbegäran behandlar höga naturvärden i avverkningsanmälan A 38158-2025 i Bräcke kommun som inkom 2025-08-13 och omfattar 19,9 ha.</w:t>
      </w:r>
    </w:p>
    <w:p>
      <w:pPr>
        <w:pStyle w:val="Caption"/>
      </w:pPr>
      <w:r>
        <w:drawing>
          <wp:inline xmlns:a="http://schemas.openxmlformats.org/drawingml/2006/main" xmlns:pic="http://schemas.openxmlformats.org/drawingml/2006/picture">
            <wp:extent cx="5486400" cy="5309419"/>
            <wp:docPr id="1" name="Picture 1"/>
            <wp:cNvGraphicFramePr>
              <a:graphicFrameLocks noChangeAspect="1"/>
            </wp:cNvGraphicFramePr>
            <a:graphic>
              <a:graphicData uri="http://schemas.openxmlformats.org/drawingml/2006/picture">
                <pic:pic>
                  <pic:nvPicPr>
                    <pic:cNvPr id="0" name="A 38158-2025 karta.png"/>
                    <pic:cNvPicPr/>
                  </pic:nvPicPr>
                  <pic:blipFill>
                    <a:blip r:embed="rId16"/>
                    <a:stretch>
                      <a:fillRect/>
                    </a:stretch>
                  </pic:blipFill>
                  <pic:spPr>
                    <a:xfrm>
                      <a:off x="0" y="0"/>
                      <a:ext cx="5486400" cy="530941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6958917, E 557179 i SWEREF 99 TM.</w:t>
      </w:r>
    </w:p>
    <w:p>
      <w:r>
        <w:t>I och inom 8 meter från avverkningsanmälan finns fynd av 2 naturvårdsarter, varav 2 är rödlistade: timmerskapania (VU) och rödbrun klubbdyna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Timmerskapania (VU)</w:t>
      </w:r>
      <w:r>
        <w:t xml:space="preserve"> växer på hård ved som tidvis blöts ned och hittas ofta på omkullfallna trädstammar intill vattendrag och skogstjärnar, i skuggigt läge.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Timmerskapania omfattas av ett åtgärdsprogram för hotade arter (ÅGP) och är rödlistad som nära hotad (NT) i den europeiska rödlistan vilket innebär att Sverige har ett internationellt ansvar för arten (SLU Artdatabanken, 2026; IUCN, 2017; Naturvårdsverket 2015).</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