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40818-2024 i Bräcke kommun</w:t>
      </w:r>
    </w:p>
    <w:p>
      <w:r>
        <w:t>Denna tillsynsbegäran behandlar höga naturvärden i avverkningsanmälan A 40818-2024 i Bräcke kommun som inkom 2024-09-23 och omfattar 2,7 ha.</w:t>
      </w:r>
    </w:p>
    <w:p>
      <w:pPr>
        <w:pStyle w:val="Caption"/>
      </w:pPr>
      <w:r>
        <w:drawing>
          <wp:inline xmlns:a="http://schemas.openxmlformats.org/drawingml/2006/main" xmlns:pic="http://schemas.openxmlformats.org/drawingml/2006/picture">
            <wp:extent cx="5486400" cy="4954728"/>
            <wp:docPr id="1" name="Picture 1"/>
            <wp:cNvGraphicFramePr>
              <a:graphicFrameLocks noChangeAspect="1"/>
            </wp:cNvGraphicFramePr>
            <a:graphic>
              <a:graphicData uri="http://schemas.openxmlformats.org/drawingml/2006/picture">
                <pic:pic>
                  <pic:nvPicPr>
                    <pic:cNvPr id="0" name="A 40818-2024 karta.png"/>
                    <pic:cNvPicPr/>
                  </pic:nvPicPr>
                  <pic:blipFill>
                    <a:blip r:embed="rId16"/>
                    <a:stretch>
                      <a:fillRect/>
                    </a:stretch>
                  </pic:blipFill>
                  <pic:spPr>
                    <a:xfrm>
                      <a:off x="0" y="0"/>
                      <a:ext cx="5486400" cy="495472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6968205, E 546031 i SWEREF 99 TM.</w:t>
      </w:r>
    </w:p>
    <w:p>
      <w:r>
        <w:t>I och inom 25 meter från avverkningsanmälan finns fynd av 16 naturvårdsarter, varav 14 är rödlistade, 1 är fridlyst, 7 är typiska (T) och 1 är signalart (S): garnlav (VU, T), lammticka (VU), skrovlig taggsvamp (VU), blå taggsvamp (NT, T), dropptaggsvamp (NT, T), orange taggsvamp (NT, T), skarp dropptaggsvamp (NT), tallfingersvamp (NT), talltita (NT, §4), vaxspindling (NT), vedtrappmossa (NT, T), violettgrå tagellav (NT, T), vitgrynig nållav (NT), äggvaxskivling (NT), rödgul trumpetsvamp (S) och kransmossa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Lammticka (VU)</w:t>
      </w:r>
      <w:r>
        <w:t xml:space="preserve"> bildar mykorrhiza med tall och växer i tämligen öppna barrskogar ofta magra tallhedar, gärna på sandig mark.</w:t>
      </w:r>
      <w:r>
        <w:rPr>
          <w:b/>
        </w:rPr>
        <w:t xml:space="preserve"> </w:t>
      </w:r>
      <w:r>
        <w:t>Arten är placerad högst upp i Skogsstyrelsens värdepyramid för bedömning av skog med höga naturvärden och tål inte slutavverkning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Vaxspindling (NT)</w:t>
      </w:r>
      <w:r>
        <w:t xml:space="preserve"> växer främst i äldre skogar på sandig mark där den bildar mykorrhiza med tall, framförallt på sandiga lavtallhedar. Mager, sandig och brandpräglad tallskog med lång trädkontinuitet bör undantas från trakthyggesbruk och inte kalavverkas. De mest värdefulla lokalerna bör få ett långsiktigt skydd med naturvårdsinriktad skötsel. Arten är placerad högst upp i Skogsstyrelsens värdepyramid för bedömning av skog med höga naturvärden och den är globalt rödlistad som nära hotad (NT), vilket medför ett internationellt ansvar för arten (SLU Artdatabanken, 2024; Nitare &amp; Skogsstyrelsen, 2019; IUCN,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blå taggsvamp (NT, T), dropptaggsvamp (NT, T), orange taggsvamp (NT, T), vedtrappmossa (NT, T), violettgrå tagellav (NT, T) och kransmossa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