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18898-2025 i Bräcke kommun</w:t>
      </w:r>
    </w:p>
    <w:p>
      <w:r>
        <w:t>Detta dokument behandlar höga naturvärden i avverkningsanmälan A 18898-2025 i Bräcke kommun som inkom 2025-04-17 och omfattar 3,6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T, §8), lunglav (NT, T), korallblylav (S, T), plattlummer (S, T, §9), skinnlav (S, T) och kungsfågel (§4). Av dessa är 2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18898-2025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6950580, E 516302 i SWEREF 99 TM.</w:t>
      </w:r>
    </w:p>
    <w:p>
      <w:pPr>
        <w:pStyle w:val="Heading2"/>
      </w:pPr>
      <w:r>
        <w:t>Fridlysta arter</w:t>
      </w:r>
    </w:p>
    <w:p>
      <w:r>
        <w:t>Följande fridlysta arter har sina livsmiljöer och växtplatser i den avverkningsanmälda skogen: knärot (VU, T, §8), plattlummer (S, T, §9)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547490"/>
            <wp:docPr id="2" name="Picture 2"/>
            <wp:cNvGraphicFramePr>
              <a:graphicFrameLocks noChangeAspect="1"/>
            </wp:cNvGraphicFramePr>
            <a:graphic>
              <a:graphicData uri="http://schemas.openxmlformats.org/drawingml/2006/picture">
                <pic:pic>
                  <pic:nvPicPr>
                    <pic:cNvPr id="0" name="A 18898-2025 karta knärot.png"/>
                    <pic:cNvPicPr/>
                  </pic:nvPicPr>
                  <pic:blipFill>
                    <a:blip r:embed="rId17"/>
                    <a:stretch>
                      <a:fillRect/>
                    </a:stretch>
                  </pic:blipFill>
                  <pic:spPr>
                    <a:xfrm>
                      <a:off x="0" y="0"/>
                      <a:ext cx="5486400" cy="45474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6950580, E 516302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pPr>
        <w:pStyle w:val="Heading2"/>
      </w:pPr>
      <w:r>
        <w:t>Övriga naturvårdsarter</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