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28153-2025 i Bräcke kommun</w:t>
      </w:r>
    </w:p>
    <w:p>
      <w:r>
        <w:t>Detta dokument behandlar höga naturvärden i avverkningsanmälan A 28153-2025 i Bräcke kommun som inkom 2025-06-10 och omfattar 16,2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doftticka (VU, T, §8), knärot (VU, T, §8), kolflarnlav (NT, T), lavskrika (NT, T, §4), lunglav (NT, T), rosa skärelav (NT, T), skrovellav (NT, T), sparvuggla (NT, §4), tretåig hackspett (NT, T, §4), ullticka (NT, T), vedflamlav (NT), barkkornlav (S, T), bårdlav (S, T), nästlav (S, T), rostfläck (S, T) och järpe (T, §4). Av dessa är 11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363330"/>
            <wp:docPr id="1" name="Picture 1"/>
            <wp:cNvGraphicFramePr>
              <a:graphicFrameLocks noChangeAspect="1"/>
            </wp:cNvGraphicFramePr>
            <a:graphic>
              <a:graphicData uri="http://schemas.openxmlformats.org/drawingml/2006/picture">
                <pic:pic>
                  <pic:nvPicPr>
                    <pic:cNvPr id="0" name="A 28153-2025 karta.png"/>
                    <pic:cNvPicPr/>
                  </pic:nvPicPr>
                  <pic:blipFill>
                    <a:blip r:embed="rId16"/>
                    <a:stretch>
                      <a:fillRect/>
                    </a:stretch>
                  </pic:blipFill>
                  <pic:spPr>
                    <a:xfrm>
                      <a:off x="0" y="0"/>
                      <a:ext cx="5486400" cy="436333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6982617, E 518925 i SWEREF 99 TM.</w:t>
      </w:r>
    </w:p>
    <w:p>
      <w:pPr>
        <w:pStyle w:val="Heading2"/>
      </w:pPr>
      <w:r>
        <w:t>Fridlysta arter</w:t>
      </w:r>
    </w:p>
    <w:p>
      <w:r>
        <w:t>Följande fridlysta arter har sina livsmiljöer och växtplatser i den avverkningsanmälda skogen: doftticka (VU, T, §8), knärot (VU, T, §8), lavskrika (NT, T, §4), sparvuggla (NT, §4), tretåig hackspett (NT, T, §4) och järpe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6.17 ha med buffertzonerna och får av detta skäl inte avverkas.</w:t>
      </w:r>
    </w:p>
    <w:p>
      <w:pPr>
        <w:pStyle w:val="Caption"/>
      </w:pPr>
      <w:r>
        <w:drawing>
          <wp:inline xmlns:a="http://schemas.openxmlformats.org/drawingml/2006/main" xmlns:pic="http://schemas.openxmlformats.org/drawingml/2006/picture">
            <wp:extent cx="5486400" cy="5503421"/>
            <wp:docPr id="2" name="Picture 2"/>
            <wp:cNvGraphicFramePr>
              <a:graphicFrameLocks noChangeAspect="1"/>
            </wp:cNvGraphicFramePr>
            <a:graphic>
              <a:graphicData uri="http://schemas.openxmlformats.org/drawingml/2006/picture">
                <pic:pic>
                  <pic:nvPicPr>
                    <pic:cNvPr id="0" name="A 28153-2025 karta knärot.png"/>
                    <pic:cNvPicPr/>
                  </pic:nvPicPr>
                  <pic:blipFill>
                    <a:blip r:embed="rId17"/>
                    <a:stretch>
                      <a:fillRect/>
                    </a:stretch>
                  </pic:blipFill>
                  <pic:spPr>
                    <a:xfrm>
                      <a:off x="0" y="0"/>
                      <a:ext cx="5486400" cy="5503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6982617, E 518925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2"/>
      </w:pPr>
      <w:r>
        <w:t>Övriga naturvårdsarter</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