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23817-2026 i Bräcke kommun</w:t>
      </w:r>
    </w:p>
    <w:p>
      <w:r>
        <w:t>Denna tillsynsbegäran behandlar höga naturvärden i avverkningsanmälan A 23817-2026 i Bräcke kommun som inkom 2026-05-23 och omfattar 1,9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48150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3817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4815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6989806, E 514948 i SWEREF 99 TM.</w:t>
      </w:r>
    </w:p>
    <w:p>
      <w:r>
        <w:t>I avverkningsanmälan finns fynd av 2 naturvårdsarter, varav 1 är rödlistad, 2 är typiska (T) och 1 är signalart (S): skuggblåslav (NT, T) och norrlandslav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Skuggblåslav (NT)</w:t>
      </w:r>
      <w:r>
        <w:t xml:space="preserve"> växer på silikatsten eller gamla träd i äldre naturskogar med hög luftfuktighet. Den påverkas negativt av brist på kontinuitetsskog och minskningstakten för arten bedöms vara nära gränsvärdet för sårbar (VU). Skuggblåslav är typisk art för </w:t>
      </w:r>
      <w:r>
        <w:rPr>
          <w:i/>
        </w:rPr>
        <w:t xml:space="preserve">9010 Taiga </w:t>
      </w:r>
      <w:r>
        <w:t>(Nitare &amp; Skogsstyrelsen, 2019; SLU Artdatabanken, 2026).</w:t>
      </w:r>
    </w:p>
    <w:p>
      <w:r>
        <w:rPr>
          <w:b/>
        </w:rPr>
        <w:t xml:space="preserve">Norrlandslav </w:t>
      </w:r>
      <w:r>
        <w:t xml:space="preserve">indikerar söder om den naturliga norrlandsgränsen barrskogsbeklädda bergbranter eller andra ostörda skogsmiljöer med höga naturvärden. Norrlandslav är typisk art för </w:t>
      </w:r>
      <w:r>
        <w:rPr>
          <w:i/>
        </w:rPr>
        <w:t xml:space="preserve">9010 Taiga, 8110 Silikatrasmarker </w:t>
      </w:r>
      <w:r>
        <w:t>och</w:t>
      </w:r>
      <w:r>
        <w:rPr>
          <w:i/>
        </w:rPr>
        <w:t xml:space="preserve"> 8120 Kalkrasmarker </w:t>
      </w:r>
      <w:r>
        <w:t>(Nitare &amp; Skogsstyrelsen, 2000;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