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21452-2025 i Bräcke kommun</w:t>
      </w:r>
    </w:p>
    <w:p>
      <w:r>
        <w:t>Detta dokument behandlar höga naturvärden i avverkningsanmälan A 21452-2025 i Bräcke kommun. Denna avverkningsanmälan inkom 2025-05-05 och omfattar 28,8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trolldruvemätare (EN), lunglav (NT), kransrams (S), strutbräken (S), svart trolldruva (S), tibast (S) och underviol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85667"/>
            <wp:docPr id="1" name="Picture 1"/>
            <wp:cNvGraphicFramePr>
              <a:graphicFrameLocks noChangeAspect="1"/>
            </wp:cNvGraphicFramePr>
            <a:graphic>
              <a:graphicData uri="http://schemas.openxmlformats.org/drawingml/2006/picture">
                <pic:pic>
                  <pic:nvPicPr>
                    <pic:cNvPr id="0" name="A 21452-2025 karta.png"/>
                    <pic:cNvPicPr/>
                  </pic:nvPicPr>
                  <pic:blipFill>
                    <a:blip r:embed="rId16"/>
                    <a:stretch>
                      <a:fillRect/>
                    </a:stretch>
                  </pic:blipFill>
                  <pic:spPr>
                    <a:xfrm>
                      <a:off x="0" y="0"/>
                      <a:ext cx="5486400" cy="69856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6945280, E 531754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Trolldruvemätare (EN)</w:t>
      </w:r>
      <w:r>
        <w:t xml:space="preserve"> är rödlistad som starkt hotad och omfattas av åtgärdsprogram för hotade arter.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9311753"/>
            <wp:docPr id="2" name="Picture 2"/>
            <wp:cNvGraphicFramePr>
              <a:graphicFrameLocks noChangeAspect="1"/>
            </wp:cNvGraphicFramePr>
            <a:graphic>
              <a:graphicData uri="http://schemas.openxmlformats.org/drawingml/2006/picture">
                <pic:pic>
                  <pic:nvPicPr>
                    <pic:cNvPr id="0" name="A 21452-2025 karta knärot.png"/>
                    <pic:cNvPicPr/>
                  </pic:nvPicPr>
                  <pic:blipFill>
                    <a:blip r:embed="rId17"/>
                    <a:stretch>
                      <a:fillRect/>
                    </a:stretch>
                  </pic:blipFill>
                  <pic:spPr>
                    <a:xfrm>
                      <a:off x="0" y="0"/>
                      <a:ext cx="5486400" cy="931175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6945280, E 531754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Trolldruvemätare – ekologi samt krav på livsmiljön</w:t>
      </w:r>
    </w:p>
    <w:p>
      <w:r>
        <w:t>Trolldruvemätare (EN), rödlistad som starkt hotad, omfattas av åtgärdsprogram för hotade arter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2024).</w:t>
      </w:r>
    </w:p>
    <w:p>
      <w:r>
        <w:t>Fjärilen förutsätter för sin överlevnad enligt svenska undersökningar åtminstone delvis solbelysta värdväxter och detta uppnås på ett långsiktigt sätt genom att skogsbeståndens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r>
        <w:rPr>
          <w:i/>
        </w:rPr>
        <w:t>1. Vad kan sägas om trolldruvemätarens uppträdande och hotsituation i Norden och i Sverige generellt och dess orsaker?</w:t>
      </w:r>
    </w:p>
    <w:p>
      <w:r>
        <w:rPr>
          <w:i/>
        </w:rPr>
        <w:t>2. Finns det något särskilt att säga om trolldruvemätarens livsmiljökrav?</w:t>
      </w:r>
    </w:p>
    <w:p>
      <w:pPr>
        <w:pStyle w:val="Heading2"/>
      </w:pPr>
      <w:r>
        <w:t>Svar på fråga 1. Uppträdande och hotsituation</w:t>
      </w:r>
    </w:p>
    <w:p>
      <w:r>
        <w:t>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w:t>
      </w:r>
      <w:r>
        <w:rPr>
          <w:i/>
        </w:rPr>
        <w:t>Actaea erythrocarpa</w:t>
      </w:r>
      <w:r>
        <w:t>)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r>
      <w:r>
        <w:rPr>
          <w:i/>
        </w:rPr>
        <w:br/>
        <w:t>Författare till Åtgärdsprogrammet för trolldruvemätare</w:t>
        <w:br/>
        <w:t>Expert i Artdatabankens rödlistekommitté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