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pPr>
        <w:pStyle w:val="Heading1"/>
      </w:pPr>
      <w:r>
        <w:t>Fridlysta arter</w:t>
      </w:r>
    </w:p>
    <w:p>
      <w:r>
        <w:t>Följande fridlysta arter har sina livsmiljöer och växtplatser i den avverkningsanmälda skogen: knärot (VU, §8), guckusko (S, §7), tvåblad (S, §8), brudsporre (§8), fläcknycklar (§8) och ängsnycklar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6965438, E 518931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