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3033-2023 i Bräcke kommun</w:t>
      </w:r>
    </w:p>
    <w:p>
      <w:r>
        <w:t>Denna tillsynsbegäran behandlar höga naturvärden i avverkningsanmälan A 3033-2023 i Bräcke kommun som inkom 2023-01-19 och omfattar 3,7 ha.</w:t>
      </w:r>
    </w:p>
    <w:p>
      <w:pPr>
        <w:pStyle w:val="Caption"/>
      </w:pPr>
      <w:r>
        <w:drawing>
          <wp:inline xmlns:a="http://schemas.openxmlformats.org/drawingml/2006/main" xmlns:pic="http://schemas.openxmlformats.org/drawingml/2006/picture">
            <wp:extent cx="5486400" cy="5273354"/>
            <wp:docPr id="1" name="Picture 1"/>
            <wp:cNvGraphicFramePr>
              <a:graphicFrameLocks noChangeAspect="1"/>
            </wp:cNvGraphicFramePr>
            <a:graphic>
              <a:graphicData uri="http://schemas.openxmlformats.org/drawingml/2006/picture">
                <pic:pic>
                  <pic:nvPicPr>
                    <pic:cNvPr id="0" name="A 3033-2023 karta.png"/>
                    <pic:cNvPicPr/>
                  </pic:nvPicPr>
                  <pic:blipFill>
                    <a:blip r:embed="rId16"/>
                    <a:stretch>
                      <a:fillRect/>
                    </a:stretch>
                  </pic:blipFill>
                  <pic:spPr>
                    <a:xfrm>
                      <a:off x="0" y="0"/>
                      <a:ext cx="5486400" cy="5273354"/>
                    </a:xfrm>
                    <a:prstGeom prst="rect"/>
                  </pic:spPr>
                </pic:pic>
              </a:graphicData>
            </a:graphic>
          </wp:inline>
        </w:drawing>
      </w:r>
    </w:p>
    <w:p>
      <w:pPr>
        <w:pStyle w:val="Caption"/>
        <w:spacing w:after="240"/>
      </w:pPr>
      <w:r>
        <w:t>Figur 1. Fyndplatser för naturvårdsarter i och inom 14 meter från avverkningsanmälan. Markörer utan svart kant är placerade på fyndplatsen. Markörer med svart kant är placerade vid sidan av fyndplatsen och har ett svart streck som visar fyndplatsens exakta position. Kartans mittpunktskoordinat är N 6998913, E 507569 i SWEREF 99 TM.</w:t>
      </w:r>
    </w:p>
    <w:p>
      <w:r>
        <w:t>I och inom 14 meter från avverkningsanmälan finns fynd av 7 naturvårdsarter, varav 3 är rödlistade, 4 är fridlysta, 4 är typiska (T) och 2 är signalarter (S): garnlav (VU, T), knärot (VU, T, §8), lunglav (NT, T), gräsull (S), spindelblomster (S, T, §8), fläcknycklar (§8) och revlummer (§9).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Ytterligare en studie visar på den starka korrelationen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3 fyndplatser för knärot registrerade på Artportalen. Figur 2 visar gränserna för buffertzoner på 50 m, som behöver lämnas kring fyndplatserna för att knärotslokalerna inte ska försvinna vid en avverkning. Av det avverkningsanmälda området överlappar 0.77 ha med buffertzonerna och får av detta skäl inte avverkas.</w:t>
      </w:r>
    </w:p>
    <w:p>
      <w:pPr>
        <w:pStyle w:val="Caption"/>
      </w:pPr>
      <w:r>
        <w:drawing>
          <wp:inline xmlns:a="http://schemas.openxmlformats.org/drawingml/2006/main" xmlns:pic="http://schemas.openxmlformats.org/drawingml/2006/picture">
            <wp:extent cx="5486400" cy="5154576"/>
            <wp:docPr id="2" name="Picture 2"/>
            <wp:cNvGraphicFramePr>
              <a:graphicFrameLocks noChangeAspect="1"/>
            </wp:cNvGraphicFramePr>
            <a:graphic>
              <a:graphicData uri="http://schemas.openxmlformats.org/drawingml/2006/picture">
                <pic:pic>
                  <pic:nvPicPr>
                    <pic:cNvPr id="0" name="A 3033-2023 karta knärot.png"/>
                    <pic:cNvPicPr/>
                  </pic:nvPicPr>
                  <pic:blipFill>
                    <a:blip r:embed="rId17"/>
                    <a:stretch>
                      <a:fillRect/>
                    </a:stretch>
                  </pic:blipFill>
                  <pic:spPr>
                    <a:xfrm>
                      <a:off x="0" y="0"/>
                      <a:ext cx="5486400" cy="5154576"/>
                    </a:xfrm>
                    <a:prstGeom prst="rect"/>
                  </pic:spPr>
                </pic:pic>
              </a:graphicData>
            </a:graphic>
          </wp:inline>
        </w:drawing>
      </w:r>
    </w:p>
    <w:p>
      <w:pPr>
        <w:pStyle w:val="Caption"/>
        <w:spacing w:after="240"/>
      </w:pPr>
      <w:r>
        <w:t>Figur 2. Fyndplatser och buffertzoner för knärot i det avverkningsanmälda området. Endast fyndplatser vars buffertzoner överlappar med det avverkningsanmälda området har tagits med i visualiseringen. Kartans mittpunktskoordinat är N 6998913, E 507569 i SWEREF 99 TM.</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På lunglav kan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påträffas.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 Nitare &amp; Skogsstyrelsen, 2019).</w:t>
      </w:r>
    </w:p>
    <w:p>
      <w:r>
        <w:rPr>
          <w:b/>
        </w:rPr>
        <w:t>Spindelblomster (§8)</w:t>
      </w:r>
      <w:r>
        <w:t xml:space="preserve"> växer i äldre mossrik granskog eller barrblandskog, men även i fjällbjörkskog. Arten indikerar långvarig trädkontinuitet och hög luftfuktighet och är mycket känslig för uttorkning och markskador. Spindelblomster har i många trakter minskat starkt under senare tid på grund av slutavverkningar och skogsmarksdikning. Spindelblomster är typisk art för </w:t>
      </w:r>
      <w:r>
        <w:rPr>
          <w:i/>
        </w:rPr>
        <w:t xml:space="preserve">9010 Taiga, 9050 Näringsrik granskog </w:t>
      </w:r>
      <w:r>
        <w:t>och</w:t>
      </w:r>
      <w:r>
        <w:rPr>
          <w:i/>
        </w:rPr>
        <w:t xml:space="preserve"> 9040 Fjällbjörkskog</w:t>
      </w:r>
      <w:r>
        <w:t xml:space="preserve"> (Nitare &amp; Skogsstyrelsen, 2019; SLU Artdatabanken, 2025).</w:t>
      </w:r>
    </w:p>
    <w:p>
      <w:r>
        <w:br w:type="page"/>
      </w:r>
    </w:p>
    <w:p>
      <w:pPr>
        <w:pStyle w:val="Title"/>
      </w:pPr>
      <w:r>
        <w:t>BILAGA 1 –</w:t>
        <w:br/>
        <w:t>Fridlysta och rödlistade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 Detta stöds även av en studie (Johansson et al, 2026) baserad på data från Riksskogstaxeringen som visar att knäroten minskat med 66 % under perioden 1993–2022 samt att det finns en stark korrelation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Ytterligare en studie (Koelmeijer m.fl., 2022) inkluderar knärotens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Johansson, V., Jansson, M. och Bergman, K-O</w:t>
      </w:r>
      <w:r>
        <w:rPr>
          <w:i/>
        </w:rPr>
        <w:t>.</w:t>
      </w:r>
      <w:r>
        <w:t>, 2026.</w:t>
      </w:r>
      <w:r>
        <w:rPr>
          <w:i/>
        </w:rPr>
        <w:t xml:space="preserve"> A 30-year population decline of a threatened forest orchid associated with old growth forests</w:t>
      </w:r>
      <w:r>
        <w:t>. Department of Physics, Chemistry and Biology (IFM), Linköping University.</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däribland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som växer på lunglav. Rikliga förekomster med lunglav bör skyddas med biotopskydd, frivilliga avsättningar eller reservat (SLU Artdatabanken, 2026; Nitare &amp; Skogsstyrelsen, 2019).</w:t>
      </w:r>
    </w:p>
    <w:p>
      <w:r>
        <w:t xml:space="preserve">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2026-10-05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