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klagomål behandlar höga naturvärden i avverkningsanmälan A 30779-2024 i Bräcke kommun som inkom 2024-07-23 och omfattar 7,4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6960717, E 547395 i SWEREF 99 TM.</w:t>
      </w:r>
    </w:p>
    <w:p>
      <w:r>
        <w:t>I och inom 25 meter från avverkningsanmälan finns fynd av 20 naturvårdsarter, varav 19 är rödlistade, 2 är fridlysta, 9 är typiska (T) och 1 är signalart (S): knärot (VU, T, §8), lammticka (VU), mospindling (VU), skrovlig taggsvamp (VU), smalfotad taggsvamp (VU), blå taggsvamp (NT, T), dropptaggsvamp (NT, T), dvärgbägarlav (NT, T), grantaggsvamp (NT), lunglav (NT, T), orange taggsvamp (NT, T), reliktbock (NT, T), skarp dropptaggsvamp (NT), svartvit taggsvamp (NT), tallfingersvamp (NT), tallriska (NT), talltaggsvamp (NT),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181730"/>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4181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