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1938-2022 i Bräcke kommun</w:t>
      </w:r>
    </w:p>
    <w:p>
      <w:r>
        <w:t>Denna tillsynsbegäran behandlar höga naturvärden i samrådsanmälan S 1938-2022 i Bräcke kommun som inkom 2022-04-13 och omfattar 20,2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1938-2022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6952853, E 513608 i SWEREF 99 TM.</w:t>
      </w:r>
    </w:p>
    <w:p>
      <w:r>
        <w:t>I och inom 23 meter från samrådsanmälan finns fynd av 14 naturvårdsarter, varav 12 är rödlistade, 2 är fridlysta, 10 är typiska (T) och 2 är signalarter (S): urskogsticka (EN), doftticka (VU, T, §8), fläckporing (VU, T), gräddporing (VU, T), laxgröppa (VU), blå taggsvamp (NT, T), kolflarnlav (NT, T), lunglav (NT, T), mörk kolflarnlav (NT), nordtagging (NT), reliktbock (NT, T), tretåig hackspett (NT, T, §4),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fläckporing (VU, T), gräddporing (VU, T), blå taggsvamp (NT, T), kolflarnlav (NT, T), lunglav (NT, T), reliktbock (NT, T), tretåig hackspett (NT, T, §4),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