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542-2025 i Bräcke kommun</w:t>
      </w:r>
    </w:p>
    <w:p>
      <w:r>
        <w:t>Denna tillsynsbegäran behandlar höga naturvärden i samrådsanmälan S 542-2025 i Bräcke kommun som inkom 2025-02-20 och omfattar 3,0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S 542-2025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6984694, E 503307 i SWEREF 99 TM.</w:t>
      </w:r>
    </w:p>
    <w:p>
      <w:r>
        <w:t>I och inom 20 meter från samrådsanmälan finns fynd av 11 naturvårdsarter, varav 6 är rödlistade, 3 är fridlysta, 9 är typiska (T) och 3 är signalarter (S): knärot (VU, T, §8), läderdoftande fingersvamp (VU), lunglav (NT, T), ullticka (NT, T), vedskivlav (NT, T), vårärt (NT, T), kransrams (S, T), stor aspticka (S, T), svavelriska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705861"/>
            <wp:docPr id="2" name="Picture 2"/>
            <wp:cNvGraphicFramePr>
              <a:graphicFrameLocks noChangeAspect="1"/>
            </wp:cNvGraphicFramePr>
            <a:graphic>
              <a:graphicData uri="http://schemas.openxmlformats.org/drawingml/2006/picture">
                <pic:pic>
                  <pic:nvPicPr>
                    <pic:cNvPr id="0" name="S 542-2025 karta knärot.png"/>
                    <pic:cNvPicPr/>
                  </pic:nvPicPr>
                  <pic:blipFill>
                    <a:blip r:embed="rId17"/>
                    <a:stretch>
                      <a:fillRect/>
                    </a:stretch>
                  </pic:blipFill>
                  <pic:spPr>
                    <a:xfrm>
                      <a:off x="0" y="0"/>
                      <a:ext cx="5486400" cy="470586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6984694, E 503307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Kransrams</w:t>
      </w:r>
      <w:r>
        <w:t xml:space="preserve"> är typisk art för </w:t>
      </w:r>
      <w:r>
        <w:rPr>
          <w:i/>
        </w:rPr>
        <w:t xml:space="preserve">9020 Nordlig ädellövskog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lunglav (NT, T), ullticka (NT, T), vedskivlav (NT, T), vårärt (NT, T), kransrams (S, T), stor aspticka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