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31557-2024 i Bräcke kommun</w:t>
      </w:r>
    </w:p>
    <w:p>
      <w:r>
        <w:t>Detta dokument behandlar höga naturvärden i avverkningsanmälan A 31557-2024 i Bräcke kommun. Denna avverkningsanmälan inkom 2024-08-01 00:00:00 och omfattar 10,9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kolticka (EN), goliatmusseron (VU), jättemusseron (VU), rotfingersvamp (VU), torrmusseron (VU), blanksvart spiklav (NT), blå taggsvamp (NT), dvärgbägarlav (NT), gammelgransskål (NT), garnlav (NT), kolflarnlav (NT), mörk kolflarnlav (NT), orange taggsvamp (NT), skrovlig taggsvamp (NT), svart taggsvamp (NT), tallriska (NT), talltaggsvamp (NT), vaxspindling (NT), vedflamlav (NT), vedskivlav (NT), vitgrynig nållav (NT), gelatinfingersvamp (DD), dropptaggsvamp (S), skarp dropptaggsvamp (S) och tallfingersvamp (S). Av dessa är 22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31557-2024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6964555, E 550629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Gelatinfingersvamp (DD) </w:t>
      </w:r>
      <w:r>
        <w:t>bildar mykorrhiza med tall, främst i äldre sandtallskog men ibland även i grandominerad, rikare barrblandskog. Arten hotas främst av slutavverkning och andra skogsbruksåtgärder. Den tål inte en slutavverkning och sannolikt inte heller en kraftig gallring. Arten är placerad högst upp i Skogsstyrelsens värdepyramid för bedömning av skog med höga naturvärden och skogsområden med arten bör undantas från rationellt skogsbruk. Slutavverkning, kraftig gallring och skogsgödsling måste helt undvikas, liksom körning med tunga maskiner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Kolticka (EN) </w:t>
      </w:r>
      <w:r>
        <w:t>är starkt hotad art som endast växer på brända ytor av grova tallågor, ett substrat som blir alltmer sällsynt och numera bara påträffas i gammal barrskog. Svampens växtplatser bör undantas från skogsbruk och man bör lägga särskild vikt vid att spara gamla tallar. De kända lokalerna bör övervakas och om behov föreligger ges juridiskt skydd. För att säkerställa artens fortlevnad är det eftersträvansvärt att bränna lämpliga skogspartier och låta den brända veden ligga kvar. På sikt är bristen på lämpligt substrat i det kringliggande landskapet ett hot mot artens fortlevnad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22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