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43982-2023 i Bräcke kommun</w:t>
      </w:r>
    </w:p>
    <w:p>
      <w:r>
        <w:t>Detta dokument behandlar höga naturvärden i avverkningsanmälan A 43982-2023 i Bräcke kommun. Denna avverkningsanmälan inkom 2023-09-18 00:00:00 och omfattar 25,6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6 naturvårdsarter hittats: knärot (VU, §8), kolflarnlav (NT), lunglav (NT), tretåig hackspett (NT, §4), korallrot (S, §8) och spindelblomster (S, §8). Av dessa är 4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394273"/>
            <wp:docPr id="1" name="Picture 1"/>
            <wp:cNvGraphicFramePr>
              <a:graphicFrameLocks noChangeAspect="1"/>
            </wp:cNvGraphicFramePr>
            <a:graphic>
              <a:graphicData uri="http://schemas.openxmlformats.org/drawingml/2006/picture">
                <pic:pic>
                  <pic:nvPicPr>
                    <pic:cNvPr id="0" name="A 43982-2023 karta.png"/>
                    <pic:cNvPicPr/>
                  </pic:nvPicPr>
                  <pic:blipFill>
                    <a:blip r:embed="rId16"/>
                    <a:stretch>
                      <a:fillRect/>
                    </a:stretch>
                  </pic:blipFill>
                  <pic:spPr>
                    <a:xfrm>
                      <a:off x="0" y="0"/>
                      <a:ext cx="5486400" cy="339427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6953553, E 554010 i SWEREF 99 TM.</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Lunglav (NT)</w:t>
      </w:r>
      <w:r>
        <w:t xml:space="preserve">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Det finns ett antal sällsynta lavparasiter som växer på lunglav: lunglavsknapp (VU), skrovelmössing (DD), lunglavshårprick (DD), </w:t>
      </w:r>
      <w:r>
        <w:rPr>
          <w:i/>
        </w:rPr>
        <w:t>Calycina alstrupii</w:t>
      </w:r>
      <w:r>
        <w:t xml:space="preserve"> (NA) och </w:t>
      </w:r>
      <w:r>
        <w:rPr>
          <w:i/>
        </w:rPr>
        <w:t>Chalara lobariae</w:t>
      </w:r>
      <w:r>
        <w:t xml:space="preserve"> (NA) (SLU Artdatabanken, 2025; SLU Artdatabanken, 2024; Nitare &amp; Skogsstyrelsen, 2019).</w:t>
      </w:r>
    </w:p>
    <w:p>
      <w:pPr>
        <w:pStyle w:val="Heading1"/>
      </w:pPr>
      <w:r>
        <w:t>Fridlysta arter</w:t>
      </w:r>
    </w:p>
    <w:p>
      <w:r>
        <w:t>Följande fridlysta arter har sina livsmiljöer och växtplatser i den avverkningsanmälda skogen: knärot (VU, §8), tretåig hackspett (NT, §4), korallrot (S, §8) och spindelblomster (S, §8).</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1 fyndplatser för knärot registrerade på Artportalen. Figur 2 visar gränserna för buffertzoner på 50 m, som behöver lämnas kring fyndplatserna för att knärotslokalerna inte ska försvinna vid en avverkning. Av det avverkningsanmälda området överlappar 0.69 ha med buffertzonerna och får av detta skäl inte avverkas.</w:t>
      </w:r>
    </w:p>
    <w:p>
      <w:pPr>
        <w:pStyle w:val="Caption"/>
      </w:pPr>
      <w:r>
        <w:drawing>
          <wp:inline xmlns:a="http://schemas.openxmlformats.org/drawingml/2006/main" xmlns:pic="http://schemas.openxmlformats.org/drawingml/2006/picture">
            <wp:extent cx="5486400" cy="3930610"/>
            <wp:docPr id="2" name="Picture 2"/>
            <wp:cNvGraphicFramePr>
              <a:graphicFrameLocks noChangeAspect="1"/>
            </wp:cNvGraphicFramePr>
            <a:graphic>
              <a:graphicData uri="http://schemas.openxmlformats.org/drawingml/2006/picture">
                <pic:pic>
                  <pic:nvPicPr>
                    <pic:cNvPr id="0" name="A 43982-2023 karta knärot.png"/>
                    <pic:cNvPicPr/>
                  </pic:nvPicPr>
                  <pic:blipFill>
                    <a:blip r:embed="rId17"/>
                    <a:stretch>
                      <a:fillRect/>
                    </a:stretch>
                  </pic:blipFill>
                  <pic:spPr>
                    <a:xfrm>
                      <a:off x="0" y="0"/>
                      <a:ext cx="5486400" cy="393061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6953553, E 554010 i SWEREF 99 TM.</w:t>
      </w:r>
    </w:p>
    <w:p>
      <w:pPr>
        <w:pStyle w:val="Caption"/>
      </w:pPr>
    </w:p>
    <w:p>
      <w:r>
        <w:rPr>
          <w:b/>
        </w:rPr>
        <w:t>Korallrot (§8)</w:t>
      </w:r>
      <w:r>
        <w:t xml:space="preserve"> växer i sumpskogar och annan fuktig eller växelfuktig skogsmark, exempelvis i alkärr och kärrkanter, fuktiga bäckdalar, raviner, myrlaggar, sumpiga strandskogar samt i fuktiga lundar. Den visar på mer eller mindre stabila förhållanden och intakt hydrologi och är känslig för avverkning, körskador, skogsgödsling och dikning. Arten är fridlyst enligt 8 § artskyddsförordningen (SLU Artdatabanken, 2024; Nitare &amp; Skogsstyrelsen, 2019).</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6 naturvårdsarter varav 4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Lunglav – ekologi samt krav på livsmiljön</w:t>
      </w:r>
    </w:p>
    <w:p>
      <w:r>
        <w:t>Lunglav (NT) är en av vårt lands främsta signalarter som överallt indikerar gamla lövträd, skogsbestånd med höga naturvärden och ekosystem med lång skoglig kontinuitet. Lokalt kan förekomsten vara mycket riklig men den hittas nästan enbart i gamla och ej slutavverkade skogar. Artens samtliga förekomster bör uppmärksammas från naturvårdssynpunkt, då många lokaler även hyser andra ovanliga och rödlistade arter. Rikliga förekomster bör skyddas med biotopskydd, frivilliga avsättningar eller reservat (SLU Artdatabanken, 2024; Nitare &amp; Skogsstyrelsen, 2019).</w:t>
      </w:r>
    </w:p>
    <w:p>
      <w:r>
        <w:t xml:space="preserve">På lunglav kan man sällsynt finna små svarta skivlika bildningar som liknar apothecier men som är en parasitisk svamp, Lunglavsknapp </w:t>
      </w:r>
      <w:r>
        <w:rPr>
          <w:i/>
        </w:rPr>
        <w:t>Plectocarpon lichenum</w:t>
      </w:r>
      <w:r>
        <w:t xml:space="preserve"> (VU). Det finns ytterligare ett antal parasiter vilka bara förekommer på lunglav: Skrovelmössing </w:t>
      </w:r>
      <w:r>
        <w:rPr>
          <w:i/>
        </w:rPr>
        <w:t>Dactylospora lobariella</w:t>
      </w:r>
      <w:r>
        <w:t xml:space="preserve"> (rödlistad som Kunskapsbrist DD) och Lunglavshårprick </w:t>
      </w:r>
      <w:r>
        <w:rPr>
          <w:i/>
        </w:rPr>
        <w:t>Niesslia lobariae</w:t>
      </w:r>
      <w:r>
        <w:t xml:space="preserve"> (rödlistad som Kunskapsbrist DD). Skrovelmössing (DD) har små svarta apothecier och bruna, 1-septerade sporer och Lunglavshårprick (DD) har brunhåriga perithecier och färglösa, 1-septerade sporer. Nyligen har ytterligare två lavparasiter påträffats i Sverige som växer på lunglav: </w:t>
      </w:r>
      <w:r>
        <w:rPr>
          <w:i/>
        </w:rPr>
        <w:t>Calycina alstrupii</w:t>
      </w:r>
      <w:r>
        <w:t xml:space="preserve"> (NA) och </w:t>
      </w:r>
      <w:r>
        <w:rPr>
          <w:i/>
        </w:rPr>
        <w:t>Chalara lobariae</w:t>
      </w:r>
      <w:r>
        <w:t xml:space="preserve"> (NA) (SLU Artdatabanken, 2025; SLU Artdatabanken, 2024; Nitare &amp; Skogsstyrelsen, 2019).</w:t>
      </w:r>
    </w:p>
    <w:p>
      <w:pPr>
        <w:pStyle w:val="Heading2"/>
      </w:pPr>
      <w:r>
        <w:t>Referenser – lunglav</w:t>
      </w:r>
    </w:p>
    <w:p>
      <w:r>
        <w:t xml:space="preserve">Nitare, J. och Skogsstyrelsen, 2019. </w:t>
      </w:r>
      <w:r>
        <w:rPr>
          <w:i/>
        </w:rPr>
        <w:t xml:space="preserve">Skyddsvärd skog – Naturvårdsarter och andra kriterier för naturvärdesbedömning. </w:t>
      </w:r>
      <w:r>
        <w:t>Skogsstyrelsen.</w:t>
      </w:r>
    </w:p>
    <w:p>
      <w:r>
        <w:t xml:space="preserve">SLU Artdatabanken, 2024. </w:t>
      </w:r>
      <w:r>
        <w:rPr>
          <w:i/>
        </w:rPr>
        <w:t xml:space="preserve">Artfaktablad. Naturvård – artfakta. </w:t>
      </w:r>
      <w:r>
        <w:t>SLU Artdatabanken, Uppsala.</w:t>
      </w:r>
    </w:p>
    <w:p>
      <w:r>
        <w:t xml:space="preserve">SLU Artdatabanken, 2025. </w:t>
      </w:r>
      <w:r>
        <w:rPr>
          <w:i/>
        </w:rPr>
        <w:t xml:space="preserve">Över 20 nya lavparasiter för Sverige. </w:t>
      </w:r>
      <w:r>
        <w:t>https://www.slu.se/artdatabanken/arter-och-natur/artiklar/over-20-nya-lavparasiter-for-sverige/</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2025-10-29</w:t>
      <w:br/>
      <w:br/>
    </w:r>
    <w:r>
      <w:t>Till: SCA</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