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48289-2025 i Bräcke kommun</w:t>
      </w:r>
    </w:p>
    <w:p>
      <w:r>
        <w:t>Detta dokument behandlar höga naturvärden i avverkningsanmälan A 48289-2025 i Bräcke kommun. Denna avverkningsanmälan inkom 2025-10-03 14:16:33 och omfattar 10,9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gelatinfingersvamp (DD).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0638"/>
            <wp:docPr id="1" name="Picture 1"/>
            <wp:cNvGraphicFramePr>
              <a:graphicFrameLocks noChangeAspect="1"/>
            </wp:cNvGraphicFramePr>
            <a:graphic>
              <a:graphicData uri="http://schemas.openxmlformats.org/drawingml/2006/picture">
                <pic:pic>
                  <pic:nvPicPr>
                    <pic:cNvPr id="0" name="A 48289-2025 karta.png"/>
                    <pic:cNvPicPr/>
                  </pic:nvPicPr>
                  <pic:blipFill>
                    <a:blip r:embed="rId16"/>
                    <a:stretch>
                      <a:fillRect/>
                    </a:stretch>
                  </pic:blipFill>
                  <pic:spPr>
                    <a:xfrm>
                      <a:off x="0" y="0"/>
                      <a:ext cx="5486400" cy="715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6947933, E 506532 i SWEREF 99 TM.</w:t>
      </w:r>
    </w:p>
    <w:p>
      <w:r>
        <w:rPr>
          <w:b/>
        </w:rPr>
        <w:t xml:space="preserve">Gelatinfingersvamp (DD) </w:t>
      </w:r>
      <w:r>
        <w:t>bildar mykorrhiza med tall, främst i äldre sandtallskog men ibland även i grandominerad, rikare barrblandskog. Arten hotas främst av slutavverkning och andra skogsbruksåtgärder. Den tål inte en slutavverkning och sannolikt inte heller en kraftig gallring. Arten är placerad högst upp i Skogsstyrelsens värdepyramid för bedömning av skog med höga naturvärden och skogsområden med arten bör undantas från rationellt skogsbruk. Slutavverkning, kraftig gallring och skogsgödsling måste helt undvikas, liksom körning med tunga maskiner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