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64018-2020 i Bräcke kommun</w:t>
      </w:r>
    </w:p>
    <w:p>
      <w:r>
        <w:t>Detta dokument behandlar höga naturvärden i avverkningsanmälan A 64018-2020 i Bräcke kommun. Denna avverkningsanmälan inkom 2020-11-30 00:00:00 och omfattar 33,2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 karta.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r>
        <w:rPr>
          <w:b/>
        </w:rPr>
        <w:t>Aspgelélav (VU)</w:t>
      </w:r>
      <w:r>
        <w:t xml:space="preserve"> växer praktiskt taget enbart på asp i skog med hög luftfuktighet. Aspgelélav missgynnas vid slutavverkning. I norra Sverige hotas arten genom slutavverkning av äldre barrskog med åldriga aspar, ofta på skogsbergens sluttningar. Arten försvinner på aspar som lämnas kvar på hyggen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skogsfru (NT, §8), spillkråka (NT, §4), talltita (NT, §4), grönkulla (S, §8), korallrot (S, §8), spindelblomster (S, §8), vanlig groda (§6), fläcknycklar (§8), nattviol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2.71 ha med buffertzonerna och får av detta skäl inte avverkas.</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 karta knärot.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6981482, E 562965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