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11787-2025 i Bräcke kommun</w:t>
      </w:r>
    </w:p>
    <w:p>
      <w:r>
        <w:t>Detta dokument behandlar höga naturvärden i avverkningsanmälan A 11787-2025 i Bräcke kommun. Denna avverkningsanmälan inkom 2025-03-11 17:17:03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stiftgelélav (NT) och ullticka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87403"/>
            <wp:docPr id="1" name="Picture 1"/>
            <wp:cNvGraphicFramePr>
              <a:graphicFrameLocks noChangeAspect="1"/>
            </wp:cNvGraphicFramePr>
            <a:graphic>
              <a:graphicData uri="http://schemas.openxmlformats.org/drawingml/2006/picture">
                <pic:pic>
                  <pic:nvPicPr>
                    <pic:cNvPr id="0" name="A 11787-2025 karta.png"/>
                    <pic:cNvPicPr/>
                  </pic:nvPicPr>
                  <pic:blipFill>
                    <a:blip r:embed="rId16"/>
                    <a:stretch>
                      <a:fillRect/>
                    </a:stretch>
                  </pic:blipFill>
                  <pic:spPr>
                    <a:xfrm>
                      <a:off x="0" y="0"/>
                      <a:ext cx="5486400" cy="4187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6986300, E 558583 i SWEREF 99 TM.</w:t>
      </w:r>
    </w:p>
    <w:p>
      <w:r>
        <w:rPr>
          <w:b/>
        </w:rPr>
        <w:t>Stiftgelélav (NT)</w:t>
      </w:r>
      <w:r>
        <w:t xml:space="preserve"> växer på gamla aspar och sälgar i blandskogar med hög luftfuktighet. Slutavverkning och vedhuggning är de största hoten och lokaler bör undantas från rationell skogsskötsel. På lång sikt måste inslaget av asp öka i svensk skog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