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29467-2025 i Bräcke kommun</w:t>
      </w:r>
    </w:p>
    <w:p>
      <w:r>
        <w:t>Detta dokument behandlar höga naturvärden i avverkningsanmälan A 29467-2025 i Bräcke kommun. Denna avverkningsanmälan inkom 2025-06-16 16:46:14 och omfattar 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16 naturvårdsarter hittats: spadskinn (VU), blanksvart spiklav (NT), blå taggsvamp (NT), dvärgbägarlav (NT), garnlav (NT), granticka (NT), svartvit taggsvamp (NT), ullticka (NT), vaddporing (NT), vedflamlav (NT), vitplätt (NT), oljeporing (DD), bollvitmossa (S), dropptaggsvamp (S), grönpyrola (S) och skarp dropptaggsvamp (S). Av dessa är 12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2671"/>
            <wp:docPr id="1" name="Picture 1"/>
            <wp:cNvGraphicFramePr>
              <a:graphicFrameLocks noChangeAspect="1"/>
            </wp:cNvGraphicFramePr>
            <a:graphic>
              <a:graphicData uri="http://schemas.openxmlformats.org/drawingml/2006/picture">
                <pic:pic>
                  <pic:nvPicPr>
                    <pic:cNvPr id="0" name="A 29467-2025 karta.png"/>
                    <pic:cNvPicPr/>
                  </pic:nvPicPr>
                  <pic:blipFill>
                    <a:blip r:embed="rId16"/>
                    <a:stretch>
                      <a:fillRect/>
                    </a:stretch>
                  </pic:blipFill>
                  <pic:spPr>
                    <a:xfrm>
                      <a:off x="0" y="0"/>
                      <a:ext cx="5486400" cy="4542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6961699, E 572148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Spadskinn (VU)</w:t>
      </w:r>
      <w:r>
        <w:t xml:space="preserve"> är knuten till tallskogar med höga naturvärden och artens potentiella miljöer har minskat kraftigt och fortsätter att minska eftersom äldre sandtallskogar avverkas. Mykorrhiza-arter och andra marklevande svampar påverkas starkt negativt av slutavverkning då alla träd avlägsnas. Spadskinn är globalt rödlistad som sårbar (VU) vilket innebär att Sverige har ett internationellt ansvar för arten. Fler områden där arten förekommer behöver skyddas (SLU Artdatabanken, 2024; Nitare &amp; Skogsstyrelsen, 2019; IUCN, 2019).</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