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30779-2024 i Bräcke kommun</w:t>
      </w:r>
    </w:p>
    <w:p>
      <w:r>
        <w:t>Detta dokument behandlar höga naturvärden i avverkningsanmälan A 30779-2024 i Bräcke kommun. Denna avverkningsanmälan inkom 2024-07-23 22:48:17 och omfattar 7,4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lammticka (VU), smalfotad taggsvamp (VU), blå taggsvamp (NT), grantaggsvamp (NT), orange taggsvamp (NT), skrovlig taggsvamp (NT), svart taggsvamp (NT), svartvit taggsvamp (NT), tallriska (NT), talltaggsvamp (NT), vedskivlav (NT), dropptaggsvamp (S), skarp dropptaggsvamp (S) och tallfingersvamp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52216"/>
            <wp:docPr id="1" name="Picture 1"/>
            <wp:cNvGraphicFramePr>
              <a:graphicFrameLocks noChangeAspect="1"/>
            </wp:cNvGraphicFramePr>
            <a:graphic>
              <a:graphicData uri="http://schemas.openxmlformats.org/drawingml/2006/picture">
                <pic:pic>
                  <pic:nvPicPr>
                    <pic:cNvPr id="0" name="A 30779-2024 karta.png"/>
                    <pic:cNvPicPr/>
                  </pic:nvPicPr>
                  <pic:blipFill>
                    <a:blip r:embed="rId16"/>
                    <a:stretch>
                      <a:fillRect/>
                    </a:stretch>
                  </pic:blipFill>
                  <pic:spPr>
                    <a:xfrm>
                      <a:off x="0" y="0"/>
                      <a:ext cx="5486400" cy="32522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6960717, E 547395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Lammticka (VU)</w:t>
      </w:r>
      <w:r>
        <w:t xml:space="preserve"> bildar mykorrhiza med tall och växer i tämligen öppna barrskogar ofta magra tallhedar, gärna på sandig mark.</w:t>
      </w:r>
      <w:r>
        <w:rPr>
          <w:b/>
        </w:rPr>
        <w:t xml:space="preserve"> </w:t>
      </w:r>
      <w:r>
        <w:t>Arten är placerad högst upp i Skogsstyrelsens värdepyramid för bedömning av skog med höga naturvärden och tål inte slutavverkning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Tallfingersvamp </w:t>
      </w:r>
      <w:r>
        <w:t>bildar mykorrhiza med tall och gran i barrskog, framför allt sandtallskog men även i annan näringsfattig barrskog. Arten är en av landets vanligaste korallfingersvampar i äldre barrskog. Trots detta är den troligen minskande då den i huvudsak är knuten till äldre skog, främst kontinuitetsbarrskogar. Slutavverkning, gödsling eller exploatering måste undvikas (SLU Artdatabanken, 2024).</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1.77 ha med buffertzonerna och får av detta skäl inte avverkas.</w:t>
      </w:r>
    </w:p>
    <w:p>
      <w:pPr>
        <w:pStyle w:val="Caption"/>
      </w:pPr>
      <w:r>
        <w:drawing>
          <wp:inline xmlns:a="http://schemas.openxmlformats.org/drawingml/2006/main" xmlns:pic="http://schemas.openxmlformats.org/drawingml/2006/picture">
            <wp:extent cx="5486400" cy="3764623"/>
            <wp:docPr id="2" name="Picture 2"/>
            <wp:cNvGraphicFramePr>
              <a:graphicFrameLocks noChangeAspect="1"/>
            </wp:cNvGraphicFramePr>
            <a:graphic>
              <a:graphicData uri="http://schemas.openxmlformats.org/drawingml/2006/picture">
                <pic:pic>
                  <pic:nvPicPr>
                    <pic:cNvPr id="0" name="A 30779-2024 karta knärot.png"/>
                    <pic:cNvPicPr/>
                  </pic:nvPicPr>
                  <pic:blipFill>
                    <a:blip r:embed="rId17"/>
                    <a:stretch>
                      <a:fillRect/>
                    </a:stretch>
                  </pic:blipFill>
                  <pic:spPr>
                    <a:xfrm>
                      <a:off x="0" y="0"/>
                      <a:ext cx="5486400" cy="37646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6960717, E 547395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