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41147-2025 i Bräcke kommun</w:t>
      </w:r>
    </w:p>
    <w:p>
      <w:r>
        <w:t>Detta dokument behandlar höga naturvärden i avverkningsanmälan A 41147-2025 i Bräcke kommun. Denna avverkningsanmälan inkom 2025-08-29 00:00:00 och omfattar 21,2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51 naturvårdsarter hittats: blackticka (VU), knärot (VU, §8), rynkskinn (VU), smalfotad taggsvamp (VU), barkporlav (NT), blanksvart spiklav (NT), dvärgbägarlav (NT), gammelgransskål (NT), garnlav (NT), granticka (NT), grynig filtlav (NT), gränsticka (NT), kolflarnlav (NT), liten svartspik (NT), lunglav (NT), mörk kolflarnlav (NT), nordlig nållav (NT), nordtagging (NT), rosenticka (NT), skrovellav (NT), spillkråka (NT, §4), stiftgelélav (NT), tretåig hackspett (NT, §4), ullticka (NT), vaddporing (NT), vedflamlav (NT), vedskivlav (NT), vedtrappmossa (NT), violettgrå tagellav (NT), vitgrynig nållav (NT), barkkornlav (S), barkticka (S), bårdlav (S), dropptaggsvamp (S), dvärgtufs (S), grönpyrola (S), gulnål (S), kambräken (S), korallblylav (S), luddlav (S), mörk husmossa (S), norrlandslav (S), plattlummer (S, §9), rostfläck (S), rödgul trumpetsvamp (S), skinnlav (S), skuggblåslav (S), stuplav (S), svavelriska (S), vedticka (S) och ögonpyrola (S). Av dessa är 30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998970"/>
            <wp:docPr id="1" name="Picture 1"/>
            <wp:cNvGraphicFramePr>
              <a:graphicFrameLocks noChangeAspect="1"/>
            </wp:cNvGraphicFramePr>
            <a:graphic>
              <a:graphicData uri="http://schemas.openxmlformats.org/drawingml/2006/picture">
                <pic:pic>
                  <pic:nvPicPr>
                    <pic:cNvPr id="0" name="A 41147-2025 karta.png"/>
                    <pic:cNvPicPr/>
                  </pic:nvPicPr>
                  <pic:blipFill>
                    <a:blip r:embed="rId16"/>
                    <a:stretch>
                      <a:fillRect/>
                    </a:stretch>
                  </pic:blipFill>
                  <pic:spPr>
                    <a:xfrm>
                      <a:off x="0" y="0"/>
                      <a:ext cx="5486400" cy="299897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6982348, E 514603 i SWEREF 99 TM.</w:t>
      </w:r>
    </w:p>
    <w:p>
      <w:r>
        <w:rPr>
          <w:b/>
        </w:rPr>
        <w:t>Barkporlav (NT)</w:t>
      </w:r>
      <w:r>
        <w:t xml:space="preserve"> växer främst på äldre lövträd i lövrika barrskogar av naturskogskaraktär med hög luftfuktighet. Flera av växtplatserna är vid större vattenfall, där forsdimma ger hög och jämn luftfuktighet. Det huvudsakliga hotet mot arten är skogsavverkningar och det finns inga uppgifter om att arten överlever på lövträd som har ställts kvar efter slutavverkning. Kända lokaler bör skyddas (SLU Artdatabanken, 2024).</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Grynig filtlav (NT)</w:t>
      </w:r>
      <w:r>
        <w:t xml:space="preserve"> tillhör en grupp fuktighetskrävande, storväxta bladlavar där också bl.a. lunglav (NT) ingår. Den växer framför allt på gamla mossiga stammar av lövträd, särskilt ädellövträd samt asp och sälg, i kulturmarker, lövskogar, halvöppna och lövrika barrblandskogar i områden med hög luftfuktighet. Arten indikerar långvarig förekomst av gamla lövträd och ett mikroklimat med konstant hög och jämn luftfuktighet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Smalfotad taggsvamp (VU)</w:t>
      </w:r>
      <w:r>
        <w:t>, rödlistad som sårbar, växer på marken under lågor eller fallna stubbar i brandpräglad torr tallskog med lång kontinuitet. Arten är starkt associerad till kolad ved från tallar som sannolikt varit med om flera historiska skogsbränder. Detta är en process som kan ta många hundra år och det tar således mycket lång tid att återskapa lämpliga substrat. Smalfotad taggsvamp är placerad i toppen av Skogsstyrelsens värdepyramid för bedömning av skog med höga naturvärden samt globalt rödlistad som sårbar (VU) vilket innebär att Sverige har ett internationellt ansvar för arten (IUCN Redlist, 2024; Nitare &amp; Skogsstyrelsen, 2019; SLU Artdatabanken, 2024).</w:t>
      </w:r>
    </w:p>
    <w:p>
      <w:r>
        <w:rPr>
          <w:b/>
        </w:rPr>
        <w:t>Stiftgelélav (NT)</w:t>
      </w:r>
      <w:r>
        <w:t xml:space="preserve"> växer på gamla aspar och sälgar i blandskogar med hög luftfuktighet. Slutavverkning och vedhuggning är de största hoten och lokaler bör undantas från rationell skogsskötsel. På lång sikt måste inslaget av asp öka i svensk skog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spillkråka (NT, §4), tretåig hackspett (NT, §4) och plattlummer (S,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59 fyndplatser för knärot registrerade på Artportalen. Figur 2 visar gränserna för buffertzoner på 50 m, som behöver lämnas kring fyndplatserna för att knärotslokalerna inte ska försvinna vid en avverkning. Av det avverkningsanmälda området överlappar 13.55 ha med buffertzonerna och får av detta skäl inte avverkas.</w:t>
      </w:r>
    </w:p>
    <w:p>
      <w:pPr>
        <w:pStyle w:val="Caption"/>
      </w:pPr>
      <w:r>
        <w:drawing>
          <wp:inline xmlns:a="http://schemas.openxmlformats.org/drawingml/2006/main" xmlns:pic="http://schemas.openxmlformats.org/drawingml/2006/picture">
            <wp:extent cx="5486400" cy="4005009"/>
            <wp:docPr id="2" name="Picture 2"/>
            <wp:cNvGraphicFramePr>
              <a:graphicFrameLocks noChangeAspect="1"/>
            </wp:cNvGraphicFramePr>
            <a:graphic>
              <a:graphicData uri="http://schemas.openxmlformats.org/drawingml/2006/picture">
                <pic:pic>
                  <pic:nvPicPr>
                    <pic:cNvPr id="0" name="A 41147-2025 karta knärot.png"/>
                    <pic:cNvPicPr/>
                  </pic:nvPicPr>
                  <pic:blipFill>
                    <a:blip r:embed="rId17"/>
                    <a:stretch>
                      <a:fillRect/>
                    </a:stretch>
                  </pic:blipFill>
                  <pic:spPr>
                    <a:xfrm>
                      <a:off x="0" y="0"/>
                      <a:ext cx="5486400" cy="400500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6982348, E 514603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