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50826-2023 i Bräcke kommun</w:t>
      </w:r>
    </w:p>
    <w:p>
      <w:r>
        <w:t>Detta dokument behandlar höga naturvärden i avverkningsanmälan A 50826-2023 i Bräcke kommun. Denna avverkningsanmälan inkom 2023-10-18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17 naturvårdsarter hittats: borsttagging (VU), jättemusseron (VU), spadskinn (VU), torrmusseron (VU), blå taggsvamp (NT), garnlav (NT), grantaggsvamp (NT), lunglav (NT), mjölsvärting (NT), svart taggsvamp (NT), talltita (NT, §4), tretåig hackspett (NT, §4), vaxspindling (NT), bollvitmossa (S), dropptaggsvamp (S), korallblylav (S) och skarp dropptaggsvamp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54147"/>
            <wp:docPr id="1" name="Picture 1"/>
            <wp:cNvGraphicFramePr>
              <a:graphicFrameLocks noChangeAspect="1"/>
            </wp:cNvGraphicFramePr>
            <a:graphic>
              <a:graphicData uri="http://schemas.openxmlformats.org/drawingml/2006/picture">
                <pic:pic>
                  <pic:nvPicPr>
                    <pic:cNvPr id="0" name="A 50826-2023 karta.png"/>
                    <pic:cNvPicPr/>
                  </pic:nvPicPr>
                  <pic:blipFill>
                    <a:blip r:embed="rId16"/>
                    <a:stretch>
                      <a:fillRect/>
                    </a:stretch>
                  </pic:blipFill>
                  <pic:spPr>
                    <a:xfrm>
                      <a:off x="0" y="0"/>
                      <a:ext cx="5486400" cy="2554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6968833, E 564603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Borsttagging (VU)</w:t>
      </w:r>
      <w:r>
        <w:t xml:space="preserve"> är en sällsynt art som växer på såväl levande som döda stammar av lövträd, mest asp och sälg, ibland även på al och alm. Den indikerar gamla och lövträdslika skogsmiljöer med konstant hög och jämn luftfuktighet. Svampen är mycket känslig för all form av avverkning och dränering som kan orsaka ett torrare mikroklimat på växtplatsen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Mjölsvärting (NT)</w:t>
      </w:r>
      <w:r>
        <w:t xml:space="preserve"> växer i luckig barrskog, huvudsakligen på tallhed och i äldre skog. Mager, äldre tallskog och barrblandskog med lång trädkontinuitet bör undantas från trakthyggesbruk. Mjölsvärtingens lokaler är ofta nyckelbiotoper och bör då sparas i sin helhet (SLU Artdatabanken, 2024).</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r>
        <w:rPr>
          <w:b/>
        </w:rPr>
        <w:t>Vaxspindling (NT)</w:t>
      </w:r>
      <w:r>
        <w:t xml:space="preserve"> växer främst i äldre skogar på sandig mark där den bildar mykorrhiza med tall, framförallt på sandiga lavtallhedar. Mager, sandig och brandpräglad tallskog med lång trädkontinuitet bör undantas från trakthyggesbruk och inte kalavverkas. De mest värdefulla lokalerna bör få ett långsiktigt skydd med naturvårdsinriktad skötsel. Arten är placerad högst upp i Skogsstyrelsens värdepyramid för bedömning av skog med höga naturvärden och den är globalt rödlistad som nära hotad (NT), vilket medför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