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1693-2022 i Bräcke kommun</w:t>
      </w:r>
    </w:p>
    <w:p>
      <w:r>
        <w:t>Denna tillsynsbegäran behandlar höga naturvärden i samrådsanmälan S 1693-2022 i Bräcke kommun som inkom 2022-03-30 och omfattar 13,8 ha.</w:t>
      </w:r>
    </w:p>
    <w:p>
      <w:pPr>
        <w:pStyle w:val="Caption"/>
      </w:pPr>
      <w:r>
        <w:drawing>
          <wp:inline xmlns:a="http://schemas.openxmlformats.org/drawingml/2006/main" xmlns:pic="http://schemas.openxmlformats.org/drawingml/2006/picture">
            <wp:extent cx="5486400" cy="5001699"/>
            <wp:docPr id="1" name="Picture 1"/>
            <wp:cNvGraphicFramePr>
              <a:graphicFrameLocks noChangeAspect="1"/>
            </wp:cNvGraphicFramePr>
            <a:graphic>
              <a:graphicData uri="http://schemas.openxmlformats.org/drawingml/2006/picture">
                <pic:pic>
                  <pic:nvPicPr>
                    <pic:cNvPr id="0" name="S 1693-2022 karta.png"/>
                    <pic:cNvPicPr/>
                  </pic:nvPicPr>
                  <pic:blipFill>
                    <a:blip r:embed="rId16"/>
                    <a:stretch>
                      <a:fillRect/>
                    </a:stretch>
                  </pic:blipFill>
                  <pic:spPr>
                    <a:xfrm>
                      <a:off x="0" y="0"/>
                      <a:ext cx="5486400" cy="5001699"/>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6952707, E 513172 i SWEREF 99 TM.</w:t>
      </w:r>
    </w:p>
    <w:p>
      <w:r>
        <w:t>I och inom 22 meter från samrådsanmälan finns fynd av 12 naturvårdsarter, varav 9 är rödlistade, 3 är fridlysta, 8 är typiska (T) och 1 är signalart (S): aspgelélav (VU, T), doftticka (VU, T, §8), läderlappslav (VU, T), dropptaggsvamp (NT, T), dvärgbägarlav (NT, T), kolflarnlav (NT, T), kortskaftad ärgspik (NT), lunglav (NT, T), älg (NT), skinnlav (S, T), grönsiska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Läderlappslav (VU)</w:t>
      </w:r>
      <w:r>
        <w:t xml:space="preserve"> växer på gamla lövträd, främst lönn, rönn, asp och ask, på lokaler med hög luftfuktighet. Lämpliga lokaler bör skyddas. Tills vidare bör lokaler i skog undantas från rationell skogsskötsel. Läderlappslav är typisk art för </w:t>
      </w:r>
      <w:r>
        <w:rPr>
          <w:i/>
        </w:rPr>
        <w:t xml:space="preserve">9010 Taiga, 9020 Nordlig ädellövskog, 9070 Trädklädd betesmark </w:t>
      </w:r>
      <w:r>
        <w:t xml:space="preserve">och </w:t>
      </w:r>
      <w:r>
        <w:rPr>
          <w:i/>
        </w:rPr>
        <w:t>9180 Ädellövskog i branter</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aspgelélav (VU, T), doftticka (VU, T, §8), läderlappslav (VU, T), dropptaggsvamp (NT, T), dvärgbägarlav (NT, T), kolflarnlav (NT, T), lunglav (NT,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