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49712-2024 i Bräcke kommun</w:t>
      </w:r>
    </w:p>
    <w:p>
      <w:r>
        <w:t>Detta klagomål behandlar höga naturvärden i avverkningsanmälan A 49712-2024 i Bräcke kommun som inkom 2024-10-31 och omfattar 1,9 ha.</w:t>
      </w:r>
    </w:p>
    <w:p>
      <w:pPr>
        <w:pStyle w:val="Caption"/>
      </w:pPr>
      <w:r>
        <w:drawing>
          <wp:inline xmlns:a="http://schemas.openxmlformats.org/drawingml/2006/main" xmlns:pic="http://schemas.openxmlformats.org/drawingml/2006/picture">
            <wp:extent cx="5486400" cy="4832180"/>
            <wp:docPr id="1" name="Picture 1"/>
            <wp:cNvGraphicFramePr>
              <a:graphicFrameLocks noChangeAspect="1"/>
            </wp:cNvGraphicFramePr>
            <a:graphic>
              <a:graphicData uri="http://schemas.openxmlformats.org/drawingml/2006/picture">
                <pic:pic>
                  <pic:nvPicPr>
                    <pic:cNvPr id="0" name="A 49712-2024 karta.png"/>
                    <pic:cNvPicPr/>
                  </pic:nvPicPr>
                  <pic:blipFill>
                    <a:blip r:embed="rId16"/>
                    <a:stretch>
                      <a:fillRect/>
                    </a:stretch>
                  </pic:blipFill>
                  <pic:spPr>
                    <a:xfrm>
                      <a:off x="0" y="0"/>
                      <a:ext cx="5486400" cy="4832180"/>
                    </a:xfrm>
                    <a:prstGeom prst="rect"/>
                  </pic:spPr>
                </pic:pic>
              </a:graphicData>
            </a:graphic>
          </wp:inline>
        </w:drawing>
      </w:r>
    </w:p>
    <w:p>
      <w:pPr>
        <w:pStyle w:val="Caption"/>
        <w:spacing w:after="240"/>
      </w:pPr>
      <w:r>
        <w:t>Figur 1. Fyndplatser för naturvårdsarter i och inom 20 meter från avverkningsanmälan. Markörer utan svart kant är placerade på fyndplatsen. Markörer med svart kant är placerade vid sidan av fyndplatsen och har ett svart streck som visar fyndplatsens exakta position. Kartans mittpunktskoordinat är N 6960296, E 546057 i SWEREF 99 TM.</w:t>
      </w:r>
    </w:p>
    <w:p>
      <w:r>
        <w:t>I och inom 20 meter från avverkningsanmälan finns fynd av 15 naturvårdsarter, varav 10 är rödlistade, 1 är fridlyst, 11 är typiska (T) och 3 är signalarter (S): garnlav (VU, T), knärot (VU, T, §8), skrovlig taggsvamp (VU), harticka (NT, T), lunglav (NT, T), rosenticka (NT, T), rynkskinn (NT, T), talltaggsvamp (NT), vedflamlav (NT), vedskivlav (NT, T), svart trolldruva (S, T), svavelriska (S), tibast (S, T), brudborste (T) och kransmossa (T).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Garnlav (VU)</w:t>
      </w:r>
      <w:r>
        <w:t xml:space="preserve"> är en utpräglad barrskogsart som ibland kan drapera träden i norrländska grannaturskogar med hög luftfuktighet. Den förekommer även i talldominerade bestånd där den, förutom i trädens grenverk, påträffas hängande över ojämnheter i tallbarken. Arten har minskat starkt i södra och mellersta Sverige och den minskar även i sitt nordliga utbredningsområde. Minskningstakten uppgår till 30 (20–50) % inom 50 år och överstiger gränsvärdet för Sårbar (VU). Orsaken till tillbakagången beror främst på slutavverkningar av naturskogsartade skogar. Bestånd med riklig förekomst bör regelmässigt sparas, vilket även gynnar flera andra sällsynta och rödlistade arter. Garnlav är värdväxt för den mycket sällsynta och akut hotade fjärilen barrskogslavfly (CR) som hör hemma i boreala barrskogar med riklig förekomst av värdväxten. Tidigare kunde arten konstateras årligen på flera platser vid Dala-Floda i Dalarna innan lokalerna kalavverkades. Senaste fyndet i landet av barrskogslavfly är från år 2000 då den påträffades vid Högberget i Sollefteå kommun. Garnlav är typisk art för </w:t>
      </w:r>
      <w:r>
        <w:rPr>
          <w:i/>
        </w:rPr>
        <w:t xml:space="preserve">9010 Taiga </w:t>
      </w:r>
      <w:r>
        <w:t>och</w:t>
      </w:r>
      <w:r>
        <w:rPr>
          <w:i/>
        </w:rPr>
        <w:t xml:space="preserve"> 9070 Trädklädd betesmark</w:t>
      </w:r>
      <w:r>
        <w:t xml:space="preserve"> (SLU Artdatabanken, 2026).</w:t>
      </w:r>
    </w:p>
    <w:p>
      <w:r>
        <w:rPr>
          <w:b/>
        </w:rPr>
        <w:t>Knärot (VU, §8)</w:t>
      </w:r>
      <w:r>
        <w:t xml:space="preserve"> är typisk art för </w:t>
      </w:r>
      <w:r>
        <w:rPr>
          <w:i/>
        </w:rPr>
        <w:t xml:space="preserve">9010 Taiga </w:t>
      </w:r>
      <w:r>
        <w:t>och</w:t>
      </w:r>
      <w:r>
        <w:rPr>
          <w:i/>
        </w:rPr>
        <w:t xml:space="preserve"> 9050 Näringsrik granskog</w:t>
      </w:r>
      <w:r>
        <w:t xml:space="preserve">, rödlistad som sårbar och fridlyst enligt 8§ artskyddsförordningen. En nyligen genomförd analys av 79 floraväktarlokaler indikerar att det behövs någonstans mellan 100 och 150 meters skyddszon för att en knärotspopulation inte ska dö ut på lång sikt (Sebestyén &amp; Sundberg, 2025). Detta ligger väl i linje med tidigare genomförda studier som visar att det krävs väl tilltagna buffertzoner för att knäroten inte ska ta skada av skogsbruksåtgärder i intilliggande skog (Johnson, 2014; Koelmeijer m.fl., 2022; Skogsstyrelsen, 2022). Arten är även känslig för gallring vilket framgår av Skogsstyrelsens egen vägledning för hänsyn till knärot (Skogsstyrelsen, 2022). Ytterligare en studie visar på den starka korrelationen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 För rika förekomster av knärot är reservatsbildning eller biotopskydd lämpliga åtgärder för att skydda den. På knärot kan den sällsynta rostsvampen </w:t>
      </w:r>
      <w:r>
        <w:rPr>
          <w:i/>
        </w:rPr>
        <w:t>Pucciniastrum goodyerae</w:t>
      </w:r>
      <w:r>
        <w:t xml:space="preserve"> påträffas. </w:t>
      </w:r>
      <w:r>
        <w:rPr>
          <w:i/>
        </w:rPr>
        <w:t>Pucciniastrum goodyerae</w:t>
      </w:r>
      <w:r>
        <w:t xml:space="preserve"> är klassad som NE (ej bedömd) i rödlistan (SLU Artdatabanken, 2024).</w:t>
      </w:r>
    </w:p>
    <w:p>
      <w:r>
        <w:t>I det avverkningsanmälda området finns 3 fyndplatser för knärot registrerade på Artportalen. Figur 2 visar gränserna för buffertzoner på 50 m, som behöver lämnas kring fyndplatserna för att knärotslokalerna inte ska försvinna vid en avverkning. Av det avverkningsanmälda området överlappar 0.96 ha med buffertzonerna och får av detta skäl inte avverkas.</w:t>
      </w:r>
    </w:p>
    <w:p>
      <w:pPr>
        <w:pStyle w:val="Caption"/>
      </w:pPr>
      <w:r>
        <w:drawing>
          <wp:inline xmlns:a="http://schemas.openxmlformats.org/drawingml/2006/main" xmlns:pic="http://schemas.openxmlformats.org/drawingml/2006/picture">
            <wp:extent cx="5486400" cy="4713402"/>
            <wp:docPr id="2" name="Picture 2"/>
            <wp:cNvGraphicFramePr>
              <a:graphicFrameLocks noChangeAspect="1"/>
            </wp:cNvGraphicFramePr>
            <a:graphic>
              <a:graphicData uri="http://schemas.openxmlformats.org/drawingml/2006/picture">
                <pic:pic>
                  <pic:nvPicPr>
                    <pic:cNvPr id="0" name="A 49712-2024 karta knärot.png"/>
                    <pic:cNvPicPr/>
                  </pic:nvPicPr>
                  <pic:blipFill>
                    <a:blip r:embed="rId17"/>
                    <a:stretch>
                      <a:fillRect/>
                    </a:stretch>
                  </pic:blipFill>
                  <pic:spPr>
                    <a:xfrm>
                      <a:off x="0" y="0"/>
                      <a:ext cx="5486400" cy="4713402"/>
                    </a:xfrm>
                    <a:prstGeom prst="rect"/>
                  </pic:spPr>
                </pic:pic>
              </a:graphicData>
            </a:graphic>
          </wp:inline>
        </w:drawing>
      </w:r>
    </w:p>
    <w:p>
      <w:pPr>
        <w:pStyle w:val="Caption"/>
        <w:spacing w:after="240"/>
      </w:pPr>
      <w:r>
        <w:t>Figur 2. Fyndplatser och buffertzoner för knärot i det avverkningsanmälda området. Endast fyndplatser vars buffertzoner överlappar med det avverkningsanmälda området har tagits med i visualiseringen. Kartans mittpunktskoordinat är N 6960296, E 546057 i SWEREF 99 TM.</w:t>
      </w:r>
    </w:p>
    <w:p>
      <w:r>
        <w:rPr>
          <w:b/>
        </w:rPr>
        <w:t xml:space="preserve">Skrovlig taggsvamp (VU) </w:t>
      </w:r>
      <w:r>
        <w:t>bildar mykorrhiza med tall i äldre tallskog, framför allt på tallhed. Den växer huvudsakligen i äldre barrskog som hotas av slutavverkning. Genom att äldre barrskogar och naturskogar blir allt sällsyntare, missgynnas arten av skogsbruk. Arten ingår i ett åtgärdsprogram för hotade arter (ÅGP) och en långsiktig tillgång till svampens värdträd behöver säkras genom att växtplatserna undantas från avverkning. Skrovlig taggsvamp är globalt rödlistad som nära hotad (NT) vilket innebär att Sverige har ett internationellt ansvar för arten (IUCN, 2025; SLU Artdatabanken, 2026; Nitare, 2006).</w:t>
      </w:r>
    </w:p>
    <w:p>
      <w:r>
        <w:rPr>
          <w:b/>
        </w:rPr>
        <w:t>Harticka (NT)</w:t>
      </w:r>
      <w:r>
        <w:t xml:space="preserve"> är normalt en mycket bra signalart för granskogar med höga naturvärden. Även när svampen påträffas i mer påverkade skogar är det nästan alltid fråga om skogsmiljöer i sena successionsstadier med höga naturvärden. Skogsskötselåtgärder på eller i omedelbar närhet av växtplatserna kan innebära ett hot mot arten. Harticka är typisk art för </w:t>
      </w:r>
      <w:r>
        <w:rPr>
          <w:i/>
        </w:rPr>
        <w:t xml:space="preserve">9010 Taiga, 9050 Näringsrik granskog </w:t>
      </w:r>
      <w:r>
        <w:t xml:space="preserve">och </w:t>
      </w:r>
      <w:r>
        <w:rPr>
          <w:i/>
        </w:rPr>
        <w:t>9030 Landhöjningsskog</w:t>
      </w:r>
      <w:r>
        <w:t xml:space="preserve"> (SLU Artdatabanken, 2024; Nitare &amp; Skogsstyrelsen, 2019).</w:t>
      </w:r>
    </w:p>
    <w:p>
      <w:r>
        <w:rPr>
          <w:b/>
        </w:rPr>
        <w:t>Lunglav (NT)</w:t>
      </w:r>
      <w:r>
        <w:t xml:space="preserve"> är en av vårt lands främsta signalarter som överallt indikerar gamla lövträd, skogsbestånd med höga naturvärden och ekosystem med långskoglig kontinuitet. Lokalt kan förekomsten vara mycket riklig men den hittas nästan enbart i gamla och ej slutavverkade skogar. Artens samtliga förekomster bör uppmärksammas från naturvårdssynpunkt, då många lokaler även hyser andra ovanliga och rödlistade arter. Rikliga förekomster bör skyddas med biotopskydd, frivilliga avsättningar eller reservat. På lunglav kan de sällsynta lavparasiterna lunglavshårprick (CR), </w:t>
      </w:r>
      <w:r>
        <w:rPr>
          <w:i/>
        </w:rPr>
        <w:t>Abrothallus diederichii</w:t>
      </w:r>
      <w:r>
        <w:t xml:space="preserve"> (VU), </w:t>
      </w:r>
      <w:r>
        <w:rPr>
          <w:i/>
        </w:rPr>
        <w:t>Abrothallus lobariae</w:t>
      </w:r>
      <w:r>
        <w:t xml:space="preserve"> (VU), </w:t>
      </w:r>
      <w:r>
        <w:rPr>
          <w:i/>
        </w:rPr>
        <w:t>Calycina lobariae</w:t>
      </w:r>
      <w:r>
        <w:t xml:space="preserve"> (VU), lunglavsknapp (VU) och skrovelmössing (VU) påträffas. Lunglav är typisk art för </w:t>
      </w:r>
      <w:r>
        <w:rPr>
          <w:i/>
        </w:rPr>
        <w:t>9010 Taiga, 9020 Nordlig ädellövskog, 9110 Näringsfattig bokskog, 9130 Näringsrik bokskog, 9160 Näringsrik ekskog, 9180 Ädellövskog i branter, 9190 Näringsfattig ekskog, 9070 Trädklädd betesmark, 9040 Fjällbjörkskog</w:t>
      </w:r>
      <w:r>
        <w:t xml:space="preserve"> och</w:t>
      </w:r>
      <w:r>
        <w:rPr>
          <w:i/>
        </w:rPr>
        <w:t xml:space="preserve"> 6530 Lövängar</w:t>
      </w:r>
      <w:r>
        <w:t xml:space="preserve"> (SLU Artdatabanken, 2026; Nitare &amp; Skogsstyrelsen, 2019).</w:t>
      </w:r>
    </w:p>
    <w:p>
      <w:r>
        <w:rPr>
          <w:b/>
        </w:rPr>
        <w:t>Rosenticka (NT)</w:t>
      </w:r>
      <w:r>
        <w:t xml:space="preserve">, rödlistad som nära hotad, ingår i en karaktäristisk association av vedsvampar som växer på gamla, grova granlågor i urskogsartade barrskogar. Den är placerad i toppen av Skogsstyrelsens värdepyramid för bedömning av skog med höga naturvärden och indikerar ett granskogsekosystem med långvarig kontinuitet av grova lågor. Artens beroende av grova granlågor innebär att alla skogsskötselåtgärder på eller i omedelbar närhet av lokalerna utgör ett hot på lång sikt. Det är angeläget att populationerna inte ytterligare glesas ut och ett tillräckligt antal områden där arten nu finns måste sparas för framtiden. Rosenticka är typisk art för </w:t>
      </w:r>
      <w:r>
        <w:rPr>
          <w:i/>
        </w:rPr>
        <w:t xml:space="preserve">9010 Taiga </w:t>
      </w:r>
      <w:r>
        <w:t xml:space="preserve">och </w:t>
      </w:r>
      <w:r>
        <w:rPr>
          <w:i/>
        </w:rPr>
        <w:t>9050 Näringsrik granskog</w:t>
      </w:r>
      <w:r>
        <w:t xml:space="preserve"> (Nitare &amp; Skogsstyrelsen, 2019; SLU Artdatabanken, 2024).</w:t>
      </w:r>
    </w:p>
    <w:p>
      <w:r>
        <w:rPr>
          <w:b/>
        </w:rPr>
        <w:t>Rynkskinn (NT)</w:t>
      </w:r>
      <w:r>
        <w:t xml:space="preserve"> är en vednedbrytare som växer på grova granlågor och ingår i en karaktäristisk association av vedsvampar knutna till urskogsartade barrskogar. Den har klassificerats som en “urskogsindikator” och är placerad i toppen av Skogsstyrelsens värdepyramid för bedömning av skog med höga naturvärden. Allt tyder på att rynkskinn är mycket känslig för skogliga ingrepp och lokalerna, som oftast har höga biologiska kvaliteter, bör lämnas till fri utveckling. Rynkskinn är typisk art för </w:t>
      </w:r>
      <w:r>
        <w:rPr>
          <w:i/>
        </w:rPr>
        <w:t xml:space="preserve">9010 Taiga, 9050 Näringsrik granskog </w:t>
      </w:r>
      <w:r>
        <w:t>och</w:t>
      </w:r>
      <w:r>
        <w:rPr>
          <w:i/>
        </w:rPr>
        <w:t xml:space="preserve"> 9030 Landhöjningsskog</w:t>
      </w:r>
      <w:r>
        <w:t xml:space="preserve"> (Nitare &amp; Skogsstyrelsen, 2019; SLU Artdatabanken, 2026).</w:t>
      </w:r>
    </w:p>
    <w:p>
      <w:r>
        <w:rPr>
          <w:b/>
        </w:rPr>
        <w:t xml:space="preserve">Talltaggsvamp (NT) </w:t>
      </w:r>
      <w:r>
        <w:t>förekommer främst i tallnaturskogar eller tallskogar av kontinuitetsskogskaraktär där den bildar mykorrhiza med tall. Särskilt frekvent är den i sandtallskogar med inslag av gamla träd, t.ex. på grusåsar, stränder och sandhedar. Arten hotas främst av skogsavverkning och tycks försvinna efter slutavverkning, markberedning och plantering. Talltaggsvamp är globalt rödlistad som nära hotad (NT) vilket innebär att Sverige har ett internationellt ansvar för arten (IUCN, 2025; SLU Artdatabanken, 2024).</w:t>
      </w:r>
    </w:p>
    <w:p>
      <w:r>
        <w:rPr>
          <w:b/>
        </w:rPr>
        <w:t>Vedflamlav (NT)</w:t>
      </w:r>
      <w:r>
        <w:t xml:space="preserve"> växer på gammal hård och torr, exponerad kärnved av tall, främst på högstubbar i ljusöppna lägen, t.ex. vid och på myrar, sjökanter, i glesa hällmarkskogar och i brandpräglade tallnaturskogar. Substratet nyskapas i begränsad omfattning och arten är en utmärkt indikator på höga naturvärden i denna skogstyp. Tall- och barrblandskogar med naturskogskaraktär och spår av bränder har ofta höga biologiska värden och bör skyddas. På vedflamlavens bål kan den sällsynta spiklaven/parasiten </w:t>
      </w:r>
      <w:r>
        <w:rPr>
          <w:i/>
        </w:rPr>
        <w:t>Calicium ramboldiicola</w:t>
      </w:r>
      <w:r>
        <w:t xml:space="preserve"> (VU) påträffas (SLU Artdatabanken, 2026).</w:t>
      </w:r>
    </w:p>
    <w:p>
      <w:r>
        <w:rPr>
          <w:b/>
        </w:rPr>
        <w:t>Vedskivlav (NT)</w:t>
      </w:r>
      <w:r>
        <w:t xml:space="preserve"> växer på gammal, torr, exponerad, hård kärnved av framförallt tall i naturskogsartade bestånd. Avverkning av tallskog av naturskogskaraktär med spår av återkommande bränder är ett hot. Mängden lämplig ved att växa på för vedskivlav minskar, dels på grund av naturlig nedbrytning men framförallt på grund av att de förstörs i samband med slutavverkningar, gallringar och markberedning. Tall- och blandbarrskogar av naturskogskaraktär med spår av återkommande bränder bör skyddas. Vedskivlav är typisk art för </w:t>
      </w:r>
      <w:r>
        <w:rPr>
          <w:i/>
        </w:rPr>
        <w:t>9010 Taiga</w:t>
      </w:r>
      <w:r>
        <w:t xml:space="preserve"> (SLU Artdatabanken, 2024).</w:t>
      </w:r>
    </w:p>
    <w:p>
      <w:r>
        <w:rPr>
          <w:b/>
        </w:rPr>
        <w:t>Svart trolldruva</w:t>
      </w:r>
      <w:r>
        <w:t xml:space="preserve"> är en kalkgynnad växt som förekommer på näringsrik frisk mulljord i såväl bördiga kalkbarrskogar som sydliga kalklövskogar och lundar. Arten är en bra signalart för skyddsvärda biotoper i såväl löv- som barrskogar och tål inte slutavverkning och markberedning. Trolldruva är värdväxt för ett antal sällsynta fjärilsarter som ställer höga krav på sina livsmiljöer, däribland trolldruvemätare (EN), skuggmalmätare (VU) och trolldruvelobmätare (VU). Svart trolldruva är typisk art för </w:t>
      </w:r>
      <w:r>
        <w:rPr>
          <w:i/>
        </w:rPr>
        <w:t>9050 Näringsrik granskog,</w:t>
      </w:r>
      <w:r>
        <w:t xml:space="preserve"> </w:t>
      </w:r>
      <w:r>
        <w:rPr>
          <w:i/>
        </w:rPr>
        <w:t xml:space="preserve">9020 Nordlig ädellövskog, 9160 Näringsrik ekskog, 9180 Ädellövskog i branter </w:t>
      </w:r>
      <w:r>
        <w:t>och</w:t>
      </w:r>
      <w:r>
        <w:rPr>
          <w:i/>
        </w:rPr>
        <w:t xml:space="preserve"> 1610 Åsöar i Östersjön</w:t>
      </w:r>
      <w:r>
        <w:t xml:space="preserve"> (SLU Artdatabanken, 2024; Nitare &amp; Skogsstyrelsen, 2019).</w:t>
      </w:r>
    </w:p>
    <w:p>
      <w:r>
        <w:rPr>
          <w:b/>
        </w:rPr>
        <w:t>Tibast</w:t>
      </w:r>
      <w:r>
        <w:t xml:space="preserve"> är en kalkgynnad buske som växer på mullrik, frisk eller svagt fuktig mark, exempelvis i gamla kalkgranskogar, lövträdslundar, varma källpåverkade sluttningar och exklusiva biotoper kopplade till vattendrag. Förekomster i gammal skog visar på höga naturvärden och bör alltid noteras i samband med naturvärdesinventeringar. Tibast är typisk art för </w:t>
      </w:r>
      <w:r>
        <w:rPr>
          <w:i/>
        </w:rPr>
        <w:t>9050 Näringsrik granskog</w:t>
      </w:r>
      <w:r>
        <w:t xml:space="preserve"> och värdväxt för de två fjärilsarterna större tibastmal och brun tibastmal (CR) (SLU Artdatabanken, 2024; Nitare &amp; Skogsstyrelsen, 2019).</w:t>
      </w:r>
    </w:p>
    <w:p>
      <w:r>
        <w:rPr>
          <w:b/>
        </w:rPr>
        <w:t>Brudborste</w:t>
      </w:r>
      <w:r>
        <w:t xml:space="preserve"> är typisk art för </w:t>
      </w:r>
      <w:r>
        <w:rPr>
          <w:i/>
        </w:rPr>
        <w:t xml:space="preserve">9050 Näringsrik granskog, 9040 Fjällbjörkskog, 6530 Lövängar, 6430 Högörtängar </w:t>
      </w:r>
      <w:r>
        <w:t xml:space="preserve">och </w:t>
      </w:r>
      <w:r>
        <w:rPr>
          <w:i/>
        </w:rPr>
        <w:t>6510 Slåtterängar i låglandet</w:t>
      </w:r>
      <w:r>
        <w:t xml:space="preserve"> (SLU Artdatabanken, 2025).</w:t>
      </w:r>
    </w:p>
    <w:p>
      <w:r>
        <w:rPr>
          <w:b/>
        </w:rPr>
        <w:t>Kransmossa</w:t>
      </w:r>
      <w:r>
        <w:t xml:space="preserve"> är typisk art för </w:t>
      </w:r>
      <w:r>
        <w:rPr>
          <w:i/>
        </w:rPr>
        <w:t xml:space="preserve">9050 Näringsrik granskog </w:t>
      </w:r>
      <w:r>
        <w:t xml:space="preserve">och </w:t>
      </w:r>
      <w:r>
        <w:rPr>
          <w:i/>
        </w:rPr>
        <w:t xml:space="preserve">6170 Alpina kalkgräsmarker </w:t>
      </w:r>
      <w:r>
        <w:t>(SLU Artdatabanken, 2025).</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15 naturvårdsarter varav 10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w:t>
        <w:br/>
        <w:t>Fridlysta och rödlistade arter</w:t>
      </w:r>
    </w:p>
    <w:p>
      <w:pPr>
        <w:pStyle w:val="Heading1"/>
      </w:pPr>
      <w:r>
        <w:t>Knärot – ekologi samt krav på livsmiljön</w:t>
      </w:r>
    </w:p>
    <w:p>
      <w:r>
        <w:t xml:space="preserve">Knärot är typisk art för </w:t>
      </w:r>
      <w:r>
        <w:rPr>
          <w:i/>
        </w:rPr>
        <w:t xml:space="preserve">9010 Taiga </w:t>
      </w:r>
      <w:r>
        <w:t>och</w:t>
      </w:r>
      <w:r>
        <w:rPr>
          <w:i/>
        </w:rPr>
        <w:t xml:space="preserve"> 9050 Näringsrik granskog</w:t>
      </w:r>
      <w:r>
        <w:t>, fridlyst enligt 8 och 15 §§ artskyddsförordningen och klassad som sårbar (VU) enligt rödlistan 2020. Knärot är beroende av hög och jämn luftfuktighet i gamla, ostörda skogsmiljöer och är känslig för snabba förändringar av ljus-/vindförhållanden eller uttorkning. På grund av ett alltför intensivt skogsbruk har den minskat med 40 (25–50) % under de senaste 60 åren och i framtiden bedöms minskningstakten uppgå till 30 (20–40) %. Till följd av att arten har en dokumenterat högre minskningstakt i förhållande till sin generationstid än vad som tidigare varit känt (data från Riksskogstaxeringen) höjdes den till hotkategori sårbar (VU) i rödlistan 2020 (SLU Artdatabanken, 2024).</w:t>
      </w:r>
    </w:p>
    <w:p>
      <w:r>
        <w:t>En analys av 79 floraväktarlokaler åren 1990–2015 vilka återbesökts under 2020–2024 visade på en tydlig negativ påverkan på knärotsförekomster från större hyggen i närområdet (inom 150–200 m) vilket indikerar att kanteffekter har en stor påverkan på populationerna. Resultaten bekräftar knärotens känslighet för kanteffekter och visar vikten av att skydda större skogsbestånd för att bevara arten. Om det blir höga andelar (&gt;30%) hyggen inom 200 meter från en knärotsförekomst så ökar risken för att en knärotspopulation dör ut och det verkar det behövas någonstans mellan 100 och 150 meters skyddszon för att bevara arten på lång sikt (Sebestyén &amp; Sundberg, 2025). Detta stöds även av en studie (Johansson et al, 2026) baserad på data från Riksskogstaxeringen som visar att knäroten minskat med 66 % under perioden 1993–2022 samt att det finns en stark korrelation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w:t>
      </w:r>
    </w:p>
    <w:p>
      <w:r>
        <w:t xml:space="preserve">Samuel Johnsons doktorsavhandling </w:t>
      </w:r>
      <w:r>
        <w:rPr>
          <w:i/>
        </w:rPr>
        <w:t>“Retention Forestry as a Conservation Measure for Boreal Forest Ground Vegetation”</w:t>
      </w:r>
      <w:r>
        <w:t xml:space="preserve"> (SLU, Uppsala 2014) visar att det krävs väl tilltagna skyddszoner för att knärotens växtplatser inte ska ta skada av skogsbruksåtgärder i intilliggande områden: </w:t>
      </w:r>
      <w:r>
        <w:rPr>
          <w:i/>
        </w:rPr>
        <w:t xml:space="preserve">“Study III shows that retention patches smaller than 0.5 ha do not lifeboat the sensitive forest herb G. repens, a species that depend on stable microclimatic conditions typical for intact forest stands.” </w:t>
      </w:r>
      <w:r>
        <w:t xml:space="preserve">Vidare </w:t>
      </w:r>
      <w:r>
        <w:rPr>
          <w:i/>
        </w:rPr>
        <w:t>“More sensitive forest species are not lifeboated in retention patches ranging from 0.05 to 0.5 ha (Papers II &amp; III).”</w:t>
      </w:r>
    </w:p>
    <w:p>
      <w:r>
        <w:t xml:space="preserve">Johnsons (2014) rekommendation på minst 50 meters breda skyddszoner runt knärotens växtplatser motsvarar en areal på 0,78 hektar, vilket ligger i linje med andra studier som gjorts på känsliga skogsarter: </w:t>
      </w:r>
      <w:r>
        <w:rPr>
          <w:i/>
        </w:rPr>
        <w:t>“In study III I also show that translocated specimens of G. repens survives well in mature forests at least 50 m from the nearest edge to an open area. Moreover, measures of temperature and humidity show that such distances from an open area is far enough to offer a microclimate that is more stable compared to what present in retention patches of around 0.1 ha. This means that the very centre of a circular patch with radius 50 m (equals a size of 0.78 ha) should offer conditions similar to interior forest and would perhaps be a suitable habitat for G. repens and similar species. Previous studies from both North America and Sweden have also concluded that patches between 0.5 and one ha are sufficient for preserving interior forest vegetation as well as sensitive lichens and bryophytes (de Graaf &amp; Roberts 2009; Halpern et al. 2012; Rudolphi et al. 2014).”</w:t>
      </w:r>
    </w:p>
    <w:p>
      <w:r>
        <w:t>Ytterligare en studie (Koelmeijer m.fl., 2022) inkluderar knärotens skyddsbehov. I uppsatsen berörs problemet med uttorkning för växter, bl.a. för knärot, ett problem som blivit accentuerat på grund av den pågående klimatförändringen och torra somrar, t.ex. den exceptionellt torra sommaren 2018. I uppsatsen undersöks områden med tre olika avstånd från kalhyggeskant med avseende på skydd bl.a. för knärot. Det första området har avstånd upp till 20 m från hyggeskant (Strong edge effect), det andra 20–40 m från hyggeskant (Weak edge effect) och det tredje avser större avstånd från hyggeskant, där kanteffekten anses vara försumbar (Interior). Ett resultat var att man fann stor eller mycket stor uttorkningseffekt på känsliga och rödlistade skogsarter vid de kortare avstånden till hyggeskant, medan effekt av uttorkning inte konstaterades på större avstånd (Interior). För orkidén knärot fann man en rik förekomst (upp till 0,06 dm2/m2) på stort avstånd från hyggeskant (Interior), medan förekomsten var liten eller närmast försumbar i de områden som klassificerades som Weak edge effect respektive Strong edge effect. Arbetet påpekar att de allt oftare förekommande torra somrarna ger ytterligare skäl att utöka skyddsavståndet från hyggen till den fuktkrävande arten knärot (Koelmeijer m.fl., 2022).</w:t>
      </w:r>
    </w:p>
    <w:p>
      <w:r>
        <w:t>Även Skogsstyrelsens egen vägledning för hänsyn till knärot ligger i linje med ovanstående forskningsstudier. Av vägledningen framgår det att för med hög sannolikhet kunna bevara befintliga förekomster krävs relativt stora avsättningar av uppvuxen skog med slutet och relativt tätt kronskikt. Som riktlinje kan krävas ett avstånd på 50 meter in från brynet för att vidmakthålla ett fungerande mikroklimat. Detta innebär att fristående hänsynsytor för många arter (kärlväxter, lavar och mossor) kan behöva ha en area överstigande 0,8 hektar (cirkelyta med radien 50 meter = 0,78 hektar) för att bibehålla lokalklimatet. Även ganska små förändringar i form av förändrade ljus- och fuktighetsförhållanden, till exempel till följd av gallring, kan leda till att arten försvinner till följd av konkurrens med mera ljuskrävande och snabbväxande arter (Skogsstyrelsen, 2022).</w:t>
      </w:r>
    </w:p>
    <w:p>
      <w:r>
        <w:t>Vid tillämpning av försiktighetsprincipen enligt 2 kap. 3 § miljöbalken bör sålunda 100–150 meters skyddszon lämnas runt knärotens växtplatser.</w:t>
      </w:r>
    </w:p>
    <w:p>
      <w:pPr>
        <w:pStyle w:val="Heading2"/>
      </w:pPr>
      <w:r>
        <w:t>Referenser – knärot</w:t>
      </w:r>
    </w:p>
    <w:p>
      <w:r>
        <w:t xml:space="preserve">de Graaf M &amp; Roberts M.R., 2009. </w:t>
      </w:r>
      <w:r>
        <w:rPr>
          <w:i/>
        </w:rPr>
        <w:t xml:space="preserve">Short-term response of the herbaceous layer within leave patches after harvest. </w:t>
      </w:r>
      <w:r>
        <w:t>Forest Ecology and Management 257, 1014–1025.</w:t>
      </w:r>
    </w:p>
    <w:p>
      <w:r>
        <w:t xml:space="preserve">Halpern, C. B., Halaj, J., Evans, S. A., &amp; Dovciak, M., 2012. </w:t>
      </w:r>
      <w:r>
        <w:rPr>
          <w:i/>
        </w:rPr>
        <w:t xml:space="preserve">Level and pattern of overstory retention interact to shape long-term responses of understories to timber harvest. </w:t>
      </w:r>
      <w:r>
        <w:t>Ecological Applications, 22, 2049–2064.</w:t>
      </w:r>
    </w:p>
    <w:p>
      <w:r>
        <w:t>Johansson, V., Jansson, M. och Bergman, K-O</w:t>
      </w:r>
      <w:r>
        <w:rPr>
          <w:i/>
        </w:rPr>
        <w:t>.</w:t>
      </w:r>
      <w:r>
        <w:t>, 2026.</w:t>
      </w:r>
      <w:r>
        <w:rPr>
          <w:i/>
        </w:rPr>
        <w:t xml:space="preserve"> A 30-year population decline of a threatened forest orchid associated with old growth forests</w:t>
      </w:r>
      <w:r>
        <w:t>. Department of Physics, Chemistry and Biology (IFM), Linköping University.</w:t>
      </w:r>
    </w:p>
    <w:p>
      <w:r>
        <w:t xml:space="preserve">Johnson, S., 2014. </w:t>
      </w:r>
      <w:r>
        <w:rPr>
          <w:i/>
        </w:rPr>
        <w:t>Retention Forestry as a Conservation Measure for Boreal Forest Ground Vegetation</w:t>
      </w:r>
      <w:r>
        <w:t>. Doktorsavhandling, SLU, Uppsala.</w:t>
      </w:r>
    </w:p>
    <w:p>
      <w:r>
        <w:t xml:space="preserve">Koelmeijer, I. A., Ehrlén, J., Jönsson, M., De Frenne, P., Berg, P., Andersson, J., Weibull, H. &amp; Hylander, N. 2022. </w:t>
      </w:r>
      <w:r>
        <w:rPr>
          <w:i/>
        </w:rPr>
        <w:t xml:space="preserve">Interactive effects of drought and edge exposure on old-growth forest understory species. </w:t>
      </w:r>
      <w:r>
        <w:t>Landscape Ecology, 37, sid 1839–1853.</w:t>
      </w:r>
    </w:p>
    <w:p>
      <w:r>
        <w:t xml:space="preserve">Rudolphi, J., Jönsson, M. T., &amp; Gustafsson, L., 2014. </w:t>
      </w:r>
      <w:r>
        <w:rPr>
          <w:i/>
        </w:rPr>
        <w:t xml:space="preserve">Biological legacies buffer local species extinction after logging. </w:t>
      </w:r>
      <w:r>
        <w:t>Journal of Applied Ecology. 51, 53–62.</w:t>
      </w:r>
    </w:p>
    <w:p>
      <w:r>
        <w:t xml:space="preserve">Sebestyén, L. och Sundberg, S. 2025.  </w:t>
      </w:r>
      <w:r>
        <w:rPr>
          <w:i/>
        </w:rPr>
        <w:t>Påverkan på knärotslokaler från hyggen i närheten.</w:t>
      </w:r>
      <w:r>
        <w:t xml:space="preserve"> DAPHNE 36:1 2025. Botaniska Sällskapet i Stockholm.</w:t>
      </w:r>
    </w:p>
    <w:p>
      <w:r>
        <w:t xml:space="preserve">Skogsstyrelsen, 2022. </w:t>
      </w:r>
      <w:r>
        <w:rPr>
          <w:i/>
        </w:rPr>
        <w:t xml:space="preserve">Vägledning för hänsyn till knärot. </w:t>
      </w:r>
      <w:r>
        <w:t>https://www.skogsstyrelsen.se/lag-och-tillsyn/artskydd/vagledningar-och-kunskapsstod-artskydd/vagledning-for-hansyn-till-knarot/.</w:t>
      </w:r>
    </w:p>
    <w:p>
      <w:r>
        <w:t xml:space="preserve">SLU Artdatabanken, 2024. </w:t>
      </w:r>
      <w:r>
        <w:rPr>
          <w:i/>
        </w:rPr>
        <w:t xml:space="preserve">Artfaktablad. Naturvård – artfakta. </w:t>
      </w:r>
      <w:r>
        <w:t>SLU Artdatabanken, Uppsala.</w:t>
      </w:r>
    </w:p>
    <w:p>
      <w:pPr>
        <w:pStyle w:val="Heading1"/>
      </w:pPr>
      <w:r>
        <w:t>Lunglav – ekologi samt krav på livsmiljön</w:t>
      </w:r>
    </w:p>
    <w:p>
      <w:r>
        <w:t xml:space="preserve">Lunglav (NT) är en av vårt lands främsta signalarter som överallt indikerar gamla lövträd, skogsbestånd med höga naturvärden och ekosystem med lång skoglig kontinuitet. Lokalt kan förekomsten vara mycket riklig men den hittas nästan enbart i gamla och ej slutavverkade skogar. Artens samtliga förekomster bör uppmärksammas från naturvårdssynpunkt, då många lokaler även hyser andra ovanliga och rödlistade arter, däribland de sällsynta lavparasiterna lunglavshårprick (CR), </w:t>
      </w:r>
      <w:r>
        <w:rPr>
          <w:i/>
        </w:rPr>
        <w:t>Abrothallus diederichii</w:t>
      </w:r>
      <w:r>
        <w:t xml:space="preserve"> (VU), </w:t>
      </w:r>
      <w:r>
        <w:rPr>
          <w:i/>
        </w:rPr>
        <w:t>Abrothallus lobariae</w:t>
      </w:r>
      <w:r>
        <w:t xml:space="preserve"> (VU), </w:t>
      </w:r>
      <w:r>
        <w:rPr>
          <w:i/>
        </w:rPr>
        <w:t>Calycina lobariae</w:t>
      </w:r>
      <w:r>
        <w:t xml:space="preserve"> (VU), lunglavsknapp (VU) och skrovelmössing (VU), som växer på lunglav. Rikliga förekomster med lunglav bör skyddas med biotopskydd, frivilliga avsättningar eller reservat (SLU Artdatabanken, 2026; Nitare &amp; Skogsstyrelsen, 2019).</w:t>
      </w:r>
    </w:p>
    <w:p>
      <w:r>
        <w:t xml:space="preserve">Lunglav är typisk art för </w:t>
      </w:r>
      <w:r>
        <w:rPr>
          <w:i/>
        </w:rPr>
        <w:t>9010 Taiga, 9020 Nordlig ädellövskog, 9110 Näringsfattig bokskog, 9130 Näringsrik bokskog, 9160 Näringsrik ekskog, 9180 Ädellövskog i branter, 9190 Näringsfattig ekskog, 9070 Trädklädd betesmark, 9040 Fjällbjörkskog</w:t>
      </w:r>
      <w:r>
        <w:t xml:space="preserve"> och</w:t>
      </w:r>
      <w:r>
        <w:rPr>
          <w:i/>
        </w:rPr>
        <w:t xml:space="preserve"> 6530 Lövängar</w:t>
      </w:r>
      <w:r>
        <w:t xml:space="preserve"> (SLU Artdatabanken, 2026).</w:t>
      </w:r>
    </w:p>
    <w:p>
      <w:pPr>
        <w:pStyle w:val="Heading2"/>
      </w:pPr>
      <w:r>
        <w:t>Referenser – lunglav</w:t>
      </w:r>
    </w:p>
    <w:p>
      <w:r>
        <w:t xml:space="preserve">Nitare, J. och Skogsstyrelsen, 2019. </w:t>
      </w:r>
      <w:r>
        <w:rPr>
          <w:i/>
        </w:rPr>
        <w:t xml:space="preserve">Skyddsvärd skog – Naturvårdsarter och andra kriterier för naturvärdesbedömning. </w:t>
      </w:r>
      <w:r>
        <w:t>Skogsstyrelsen.</w:t>
      </w:r>
    </w:p>
    <w:p>
      <w:r>
        <w:t xml:space="preserve">SLU Artdatabanken, 2026.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2026-10-17</w:t>
      <w:br/>
      <w:br/>
    </w:r>
    <w:r>
      <w:t>Till: Naturvårdsverket</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