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41147-2025 i Bräcke kommun</w:t>
      </w:r>
    </w:p>
    <w:p>
      <w:r>
        <w:t>Detta klagomål behandlar höga naturvärden i avverkningsanmälan A 41147-2025 i Bräcke kommun som inkom 2025-08-29 och omfattar 21,2 ha.</w:t>
      </w:r>
    </w:p>
    <w:p>
      <w:pPr>
        <w:pStyle w:val="Caption"/>
      </w:pPr>
      <w:r>
        <w:drawing>
          <wp:inline xmlns:a="http://schemas.openxmlformats.org/drawingml/2006/main" xmlns:pic="http://schemas.openxmlformats.org/drawingml/2006/picture">
            <wp:extent cx="5026204" cy="5724000"/>
            <wp:docPr id="1" name="Picture 1"/>
            <wp:cNvGraphicFramePr>
              <a:graphicFrameLocks noChangeAspect="1"/>
            </wp:cNvGraphicFramePr>
            <a:graphic>
              <a:graphicData uri="http://schemas.openxmlformats.org/drawingml/2006/picture">
                <pic:pic>
                  <pic:nvPicPr>
                    <pic:cNvPr id="0" name="A 41147-2025 karta.png"/>
                    <pic:cNvPicPr/>
                  </pic:nvPicPr>
                  <pic:blipFill>
                    <a:blip r:embed="rId16"/>
                    <a:stretch>
                      <a:fillRect/>
                    </a:stretch>
                  </pic:blipFill>
                  <pic:spPr>
                    <a:xfrm>
                      <a:off x="0" y="0"/>
                      <a:ext cx="5026204"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har ett svart streck som visar fyndplatsens exakta position. Kartans mittpunktskoordinat är N 6982348, E 514603 i SWEREF 99 TM.</w:t>
      </w:r>
    </w:p>
    <w:p>
      <w:r>
        <w:t>I och inom 15 meter från avverkningsanmälan finns fynd av 52 naturvårdsarter, varav 32 är rödlistade, 4 är fridlysta, 37 är typiska (T) och 19 är signalarter (S): blackticka (VU), garnlav (VU, T), gränsticka (VU, T), knärot (VU, T, §8), smalfotad taggsvamp (VU), barkporlav (NT), blanksvart spiklav (NT), dropptaggsvamp (NT, T), dvärgbägarlav (NT, T), gammelgransskål (NT, T), grynig filtlav (NT, T), kolflarnlav (NT, T), liten svartspik (NT), lunglav (NT, T), mörk kolflarnlav (NT), nordlig nållav (NT), nordtagging (NT), rosenticka (NT, T), rynkskinn (NT, T), skrovellav (NT, T), skuggblåslav (NT, T), stiftgelélav (NT, T), talltagel (NT, T), tretåig hackspett (NT, T, §4), ullticka (NT, T), vaddporing (NT), vedflamlav (NT), vedskivlav (NT, T), vedtrappmossa (NT, T), violettgrå tagellav (NT, T), vitgrynig nållav (NT), vårtig dynlav (NT), barkkornlav (S, T), barkticka (S, T), bårdlav (S, T), dvärgtufs (S), grönpyrola (S, T), gulnål (S, T), kambräken (S, T), korallblylav (S, T), luddlav (S, T), mörk husmossa (S, T), norrlandslav (S, T), plattlummer (S, T, §9), rostfläck (S, T), rödgul trumpetsvamp (S), skinnlav (S, T), stuplav (S, T), svavelriska (S), vedticka (S, T), ögonpyrola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60 fyndplatser för knärot registrerade på Artportalen. Figur 2 visar gränserna för buffertzoner på 50 m, som behöver lämnas kring fyndplatserna för att knärotslokalerna inte ska försvinna vid en avverkning. Av det avverkningsanmälda området överlappar 13.55 ha med buffertzonerna och får av detta skäl inte avverkas.</w:t>
      </w:r>
    </w:p>
    <w:p>
      <w:pPr>
        <w:pStyle w:val="Caption"/>
      </w:pPr>
      <w:r>
        <w:drawing>
          <wp:inline xmlns:a="http://schemas.openxmlformats.org/drawingml/2006/main" xmlns:pic="http://schemas.openxmlformats.org/drawingml/2006/picture">
            <wp:extent cx="5486400" cy="4421171"/>
            <wp:docPr id="2" name="Picture 2"/>
            <wp:cNvGraphicFramePr>
              <a:graphicFrameLocks noChangeAspect="1"/>
            </wp:cNvGraphicFramePr>
            <a:graphic>
              <a:graphicData uri="http://schemas.openxmlformats.org/drawingml/2006/picture">
                <pic:pic>
                  <pic:nvPicPr>
                    <pic:cNvPr id="0" name="A 41147-2025 karta knärot.png"/>
                    <pic:cNvPicPr/>
                  </pic:nvPicPr>
                  <pic:blipFill>
                    <a:blip r:embed="rId17"/>
                    <a:stretch>
                      <a:fillRect/>
                    </a:stretch>
                  </pic:blipFill>
                  <pic:spPr>
                    <a:xfrm>
                      <a:off x="0" y="0"/>
                      <a:ext cx="5486400" cy="44211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6982348, E 514603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Barkporlav (NT)</w:t>
      </w:r>
      <w:r>
        <w:t xml:space="preserve"> växer främst på äldre lövträd i lövrika barrskogar av naturskogskaraktär med hög luftfuktighet. Flera av växtplatserna är vid större vattenfall, där forsdimma ger hög och jämn luftfuktighet. Det huvudsakliga hotet mot arten är skogsavverkningar och det finns inga uppgifter om att arten överlever på lövträd som har ställts kvar efter slutavverkning. Kända lokaler bör skyddas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Vårtig dynlav (NT)</w:t>
      </w:r>
      <w:r>
        <w:t xml:space="preserve"> växer på äldre träd i boreal kontinuitetsskog. Arten påverkas negativt av brist på kontinuitetsskog och död ved. En minskning av populationen pågår eller förväntas ske. Minskningstakten uppgår till 20 (10–30) % inom 50 år och bedöms vara nära gränsvärdet för sårbar (VU)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51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52 naturvårdsarter varav 32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