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1622-2025 i Bräcke kommun</w:t>
      </w:r>
    </w:p>
    <w:p>
      <w:r>
        <w:t>Detta dokument behandlar höga naturvärden i avverkningsanmälan A 1622-2025 i Bräcke kommun. Denna avverkningsanmälan inkom 2025-01-13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violett guldvinge (EN, §4a), axag (S), tvåblad (S, §8), ögonpyrola (S), lavskrika (§4), brudsporre (§8), Dactylorhiza incarnata subsp. incarnata (§8), dubbelnycklar (§8), fläcknycklar (§8) och ängsnycklar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3593"/>
            <wp:docPr id="1" name="Picture 1"/>
            <wp:cNvGraphicFramePr>
              <a:graphicFrameLocks noChangeAspect="1"/>
            </wp:cNvGraphicFramePr>
            <a:graphic>
              <a:graphicData uri="http://schemas.openxmlformats.org/drawingml/2006/picture">
                <pic:pic>
                  <pic:nvPicPr>
                    <pic:cNvPr id="0" name="A 1622-2025 karta.png"/>
                    <pic:cNvPicPr/>
                  </pic:nvPicPr>
                  <pic:blipFill>
                    <a:blip r:embed="rId16"/>
                    <a:stretch>
                      <a:fillRect/>
                    </a:stretch>
                  </pic:blipFill>
                  <pic:spPr>
                    <a:xfrm>
                      <a:off x="0" y="0"/>
                      <a:ext cx="5486400" cy="5503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6953693, E 526830 i SWEREF 99 TM.</w:t>
      </w:r>
    </w:p>
    <w:p>
      <w:pPr>
        <w:pStyle w:val="Heading1"/>
      </w:pPr>
      <w:r>
        <w:t>Fridlysta arter</w:t>
      </w:r>
    </w:p>
    <w:p>
      <w:r>
        <w:t>Följande fridlysta arter har sina livsmiljöer och växtplatser i den avverkningsanmälda skogen: violett guldvinge (EN, §4a), tvåblad (S, §8), lavskrika (§4), brudsporre (§8), Dactylorhiza incarnata subsp. incarnata (§8), dubbelnycklar (§8), fläcknycklar (§8) och ängsnycklar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